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23" w:rsidRDefault="000F6423" w:rsidP="000F6423">
      <w:pPr>
        <w:jc w:val="center"/>
        <w:rPr>
          <w:b/>
          <w:sz w:val="28"/>
          <w:szCs w:val="28"/>
          <w:u w:val="single"/>
        </w:rPr>
      </w:pPr>
      <w:r>
        <w:rPr>
          <w:b/>
          <w:sz w:val="28"/>
          <w:szCs w:val="28"/>
          <w:u w:val="single"/>
        </w:rPr>
        <w:t>RULES OF COURT</w:t>
      </w:r>
    </w:p>
    <w:p w:rsidR="000F6423" w:rsidRDefault="000F6423" w:rsidP="000F6423">
      <w:pPr>
        <w:rPr>
          <w:sz w:val="28"/>
          <w:szCs w:val="28"/>
        </w:rPr>
      </w:pPr>
    </w:p>
    <w:p w:rsidR="000F6423" w:rsidRPr="00C40A0E" w:rsidRDefault="000F6423" w:rsidP="000F6423">
      <w:pPr>
        <w:jc w:val="center"/>
        <w:rPr>
          <w:b/>
          <w:bCs/>
          <w:sz w:val="32"/>
          <w:szCs w:val="32"/>
        </w:rPr>
      </w:pPr>
      <w:r w:rsidRPr="00C40A0E">
        <w:rPr>
          <w:b/>
          <w:bCs/>
          <w:sz w:val="32"/>
          <w:szCs w:val="32"/>
        </w:rPr>
        <w:t xml:space="preserve">District Court Fast Track Supplementary Rules Adoption Rules 2014 </w:t>
      </w:r>
    </w:p>
    <w:p w:rsidR="004E4278" w:rsidRDefault="004E4278" w:rsidP="000F6423">
      <w:pPr>
        <w:jc w:val="both"/>
        <w:rPr>
          <w:sz w:val="28"/>
          <w:szCs w:val="28"/>
        </w:rPr>
      </w:pPr>
    </w:p>
    <w:p w:rsidR="00980BD2" w:rsidRDefault="004E4278" w:rsidP="004E4278">
      <w:pPr>
        <w:jc w:val="both"/>
        <w:rPr>
          <w:spacing w:val="-2"/>
          <w:szCs w:val="23"/>
        </w:rPr>
      </w:pPr>
      <w:r>
        <w:rPr>
          <w:spacing w:val="-2"/>
          <w:szCs w:val="23"/>
        </w:rPr>
        <w:t>The District Court Fast Track Supplementary Rules Adoption Rules</w:t>
      </w:r>
      <w:r w:rsidR="00980BD2">
        <w:rPr>
          <w:spacing w:val="-2"/>
          <w:szCs w:val="23"/>
        </w:rPr>
        <w:t xml:space="preserve"> 2014, dated 16 September 2014 that came </w:t>
      </w:r>
      <w:r>
        <w:rPr>
          <w:spacing w:val="-2"/>
          <w:szCs w:val="23"/>
        </w:rPr>
        <w:t xml:space="preserve">into </w:t>
      </w:r>
      <w:r>
        <w:rPr>
          <w:szCs w:val="23"/>
        </w:rPr>
        <w:t>operation</w:t>
      </w:r>
      <w:r>
        <w:rPr>
          <w:spacing w:val="-2"/>
          <w:szCs w:val="23"/>
        </w:rPr>
        <w:t xml:space="preserve"> on 1</w:t>
      </w:r>
      <w:r w:rsidRPr="00AE13CA">
        <w:rPr>
          <w:spacing w:val="-2"/>
          <w:szCs w:val="23"/>
          <w:vertAlign w:val="superscript"/>
        </w:rPr>
        <w:t>st</w:t>
      </w:r>
      <w:r>
        <w:rPr>
          <w:spacing w:val="-2"/>
          <w:szCs w:val="23"/>
        </w:rPr>
        <w:t xml:space="preserve"> October 2014 (</w:t>
      </w:r>
      <w:r>
        <w:rPr>
          <w:i/>
          <w:iCs/>
          <w:spacing w:val="-2"/>
          <w:szCs w:val="23"/>
        </w:rPr>
        <w:t>Government Gazette</w:t>
      </w:r>
      <w:r>
        <w:rPr>
          <w:spacing w:val="-2"/>
          <w:szCs w:val="23"/>
        </w:rPr>
        <w:t xml:space="preserve"> 19 September 2014, p. 5457)</w:t>
      </w:r>
      <w:r w:rsidR="00980BD2">
        <w:rPr>
          <w:spacing w:val="-2"/>
          <w:szCs w:val="23"/>
        </w:rPr>
        <w:t xml:space="preserve"> have been carried by District Court rules dated:</w:t>
      </w:r>
    </w:p>
    <w:p w:rsidR="00980BD2" w:rsidRDefault="00980BD2" w:rsidP="004E4278">
      <w:pPr>
        <w:jc w:val="both"/>
        <w:rPr>
          <w:spacing w:val="-2"/>
          <w:szCs w:val="23"/>
        </w:rPr>
      </w:pPr>
    </w:p>
    <w:tbl>
      <w:tblPr>
        <w:tblW w:w="0" w:type="auto"/>
        <w:tblLayout w:type="fixed"/>
        <w:tblLook w:val="0000" w:firstRow="0" w:lastRow="0" w:firstColumn="0" w:lastColumn="0" w:noHBand="0" w:noVBand="0"/>
      </w:tblPr>
      <w:tblGrid>
        <w:gridCol w:w="675"/>
        <w:gridCol w:w="2552"/>
        <w:gridCol w:w="3006"/>
        <w:gridCol w:w="3006"/>
      </w:tblGrid>
      <w:tr w:rsidR="00980BD2" w:rsidRPr="00980BD2" w:rsidTr="00FE68CF">
        <w:tc>
          <w:tcPr>
            <w:tcW w:w="675" w:type="dxa"/>
          </w:tcPr>
          <w:p w:rsidR="00980BD2" w:rsidRPr="00980BD2" w:rsidRDefault="00980BD2" w:rsidP="00980BD2">
            <w:pPr>
              <w:tabs>
                <w:tab w:val="left" w:pos="3119"/>
                <w:tab w:val="left" w:pos="6237"/>
              </w:tabs>
              <w:suppressAutoHyphens/>
              <w:spacing w:after="60" w:line="240" w:lineRule="exact"/>
              <w:rPr>
                <w:spacing w:val="-2"/>
                <w:sz w:val="23"/>
                <w:szCs w:val="23"/>
              </w:rPr>
            </w:pPr>
          </w:p>
        </w:tc>
        <w:tc>
          <w:tcPr>
            <w:tcW w:w="2552" w:type="dxa"/>
          </w:tcPr>
          <w:p w:rsidR="00980BD2" w:rsidRPr="00980BD2" w:rsidRDefault="00980BD2" w:rsidP="00980BD2">
            <w:pPr>
              <w:tabs>
                <w:tab w:val="left" w:pos="3119"/>
                <w:tab w:val="left" w:pos="6237"/>
              </w:tabs>
              <w:suppressAutoHyphens/>
              <w:spacing w:after="60" w:line="240" w:lineRule="exact"/>
              <w:rPr>
                <w:i/>
                <w:iCs/>
                <w:spacing w:val="-2"/>
                <w:sz w:val="23"/>
                <w:szCs w:val="23"/>
              </w:rPr>
            </w:pPr>
          </w:p>
        </w:tc>
        <w:tc>
          <w:tcPr>
            <w:tcW w:w="3006" w:type="dxa"/>
          </w:tcPr>
          <w:p w:rsidR="00980BD2" w:rsidRPr="00980BD2" w:rsidRDefault="00980BD2" w:rsidP="00980BD2">
            <w:pPr>
              <w:tabs>
                <w:tab w:val="left" w:pos="3119"/>
                <w:tab w:val="left" w:pos="6237"/>
              </w:tabs>
              <w:suppressAutoHyphens/>
              <w:spacing w:after="60" w:line="240" w:lineRule="exact"/>
              <w:rPr>
                <w:i/>
                <w:iCs/>
                <w:spacing w:val="-2"/>
                <w:sz w:val="23"/>
                <w:szCs w:val="23"/>
              </w:rPr>
            </w:pPr>
            <w:r w:rsidRPr="00980BD2">
              <w:rPr>
                <w:i/>
                <w:iCs/>
                <w:spacing w:val="-2"/>
                <w:sz w:val="23"/>
                <w:szCs w:val="23"/>
              </w:rPr>
              <w:t>Gazette</w:t>
            </w:r>
          </w:p>
        </w:tc>
        <w:tc>
          <w:tcPr>
            <w:tcW w:w="3006" w:type="dxa"/>
          </w:tcPr>
          <w:p w:rsidR="00980BD2" w:rsidRPr="00980BD2" w:rsidRDefault="00980BD2" w:rsidP="00980BD2">
            <w:pPr>
              <w:tabs>
                <w:tab w:val="left" w:pos="3119"/>
                <w:tab w:val="left" w:pos="6237"/>
              </w:tabs>
              <w:suppressAutoHyphens/>
              <w:spacing w:after="60" w:line="240" w:lineRule="exact"/>
              <w:rPr>
                <w:i/>
                <w:iCs/>
                <w:spacing w:val="-2"/>
                <w:sz w:val="23"/>
                <w:szCs w:val="23"/>
              </w:rPr>
            </w:pPr>
            <w:r w:rsidRPr="00980BD2">
              <w:rPr>
                <w:i/>
                <w:iCs/>
                <w:spacing w:val="-2"/>
                <w:sz w:val="23"/>
                <w:szCs w:val="23"/>
              </w:rPr>
              <w:t>Date of operation</w:t>
            </w:r>
          </w:p>
        </w:tc>
      </w:tr>
      <w:tr w:rsidR="00980BD2" w:rsidRPr="00FE68CF" w:rsidTr="00FE68CF">
        <w:tc>
          <w:tcPr>
            <w:tcW w:w="675" w:type="dxa"/>
          </w:tcPr>
          <w:p w:rsidR="00980BD2" w:rsidRPr="00FE68CF" w:rsidRDefault="00980BD2" w:rsidP="00980BD2">
            <w:pPr>
              <w:tabs>
                <w:tab w:val="left" w:pos="709"/>
                <w:tab w:val="left" w:pos="3119"/>
                <w:tab w:val="left" w:pos="6237"/>
              </w:tabs>
              <w:suppressAutoHyphens/>
              <w:spacing w:after="60" w:line="240" w:lineRule="exact"/>
              <w:rPr>
                <w:spacing w:val="-2"/>
                <w:sz w:val="23"/>
                <w:szCs w:val="23"/>
              </w:rPr>
            </w:pPr>
            <w:r w:rsidRPr="00FE68CF">
              <w:rPr>
                <w:spacing w:val="-2"/>
                <w:sz w:val="23"/>
                <w:szCs w:val="23"/>
              </w:rPr>
              <w:t># 1</w:t>
            </w:r>
          </w:p>
        </w:tc>
        <w:tc>
          <w:tcPr>
            <w:tcW w:w="2552" w:type="dxa"/>
          </w:tcPr>
          <w:p w:rsidR="00980BD2" w:rsidRPr="00FE68CF" w:rsidRDefault="00980BD2" w:rsidP="00980BD2">
            <w:pPr>
              <w:tabs>
                <w:tab w:val="left" w:pos="709"/>
                <w:tab w:val="left" w:pos="3119"/>
                <w:tab w:val="left" w:pos="6237"/>
              </w:tabs>
              <w:suppressAutoHyphens/>
              <w:spacing w:after="60" w:line="240" w:lineRule="exact"/>
              <w:rPr>
                <w:spacing w:val="-2"/>
                <w:sz w:val="23"/>
                <w:szCs w:val="23"/>
              </w:rPr>
            </w:pPr>
            <w:r w:rsidRPr="00FE68CF">
              <w:rPr>
                <w:spacing w:val="-2"/>
                <w:sz w:val="23"/>
                <w:szCs w:val="23"/>
              </w:rPr>
              <w:t>9 November 2015</w:t>
            </w:r>
          </w:p>
        </w:tc>
        <w:tc>
          <w:tcPr>
            <w:tcW w:w="3006" w:type="dxa"/>
          </w:tcPr>
          <w:p w:rsidR="00980BD2" w:rsidRPr="00FE68CF" w:rsidRDefault="00980BD2" w:rsidP="00980BD2">
            <w:pPr>
              <w:tabs>
                <w:tab w:val="left" w:pos="709"/>
                <w:tab w:val="left" w:pos="3119"/>
                <w:tab w:val="left" w:pos="6237"/>
              </w:tabs>
              <w:suppressAutoHyphens/>
              <w:spacing w:after="60" w:line="240" w:lineRule="exact"/>
              <w:rPr>
                <w:spacing w:val="-2"/>
                <w:sz w:val="23"/>
                <w:szCs w:val="23"/>
              </w:rPr>
            </w:pPr>
            <w:r w:rsidRPr="00FE68CF">
              <w:rPr>
                <w:spacing w:val="-2"/>
                <w:sz w:val="23"/>
                <w:szCs w:val="23"/>
              </w:rPr>
              <w:t>19 November 2015, p. 5015</w:t>
            </w:r>
          </w:p>
        </w:tc>
        <w:tc>
          <w:tcPr>
            <w:tcW w:w="3006" w:type="dxa"/>
          </w:tcPr>
          <w:p w:rsidR="00980BD2" w:rsidRPr="00FE68CF" w:rsidRDefault="00980BD2" w:rsidP="00980BD2">
            <w:pPr>
              <w:tabs>
                <w:tab w:val="left" w:pos="709"/>
                <w:tab w:val="left" w:pos="3119"/>
                <w:tab w:val="left" w:pos="6237"/>
              </w:tabs>
              <w:suppressAutoHyphens/>
              <w:spacing w:after="60" w:line="240" w:lineRule="exact"/>
              <w:rPr>
                <w:spacing w:val="-2"/>
                <w:sz w:val="23"/>
                <w:szCs w:val="23"/>
              </w:rPr>
            </w:pPr>
            <w:r w:rsidRPr="00FE68CF">
              <w:rPr>
                <w:spacing w:val="-2"/>
                <w:sz w:val="23"/>
                <w:szCs w:val="23"/>
              </w:rPr>
              <w:t>1 December 2015</w:t>
            </w:r>
          </w:p>
        </w:tc>
      </w:tr>
      <w:tr w:rsidR="00980BD2" w:rsidRPr="00980BD2" w:rsidTr="00FE68CF">
        <w:tc>
          <w:tcPr>
            <w:tcW w:w="675" w:type="dxa"/>
          </w:tcPr>
          <w:p w:rsidR="00980BD2" w:rsidRPr="00FE68CF" w:rsidRDefault="00FE68CF" w:rsidP="00980BD2">
            <w:pPr>
              <w:tabs>
                <w:tab w:val="left" w:pos="709"/>
                <w:tab w:val="left" w:pos="3119"/>
                <w:tab w:val="left" w:pos="6237"/>
              </w:tabs>
              <w:suppressAutoHyphens/>
              <w:spacing w:after="60" w:line="240" w:lineRule="exact"/>
              <w:rPr>
                <w:b/>
                <w:spacing w:val="-2"/>
                <w:sz w:val="23"/>
                <w:szCs w:val="23"/>
              </w:rPr>
            </w:pPr>
            <w:r w:rsidRPr="00FE68CF">
              <w:rPr>
                <w:b/>
                <w:spacing w:val="-2"/>
                <w:sz w:val="23"/>
                <w:szCs w:val="23"/>
              </w:rPr>
              <w:t>#2</w:t>
            </w:r>
          </w:p>
        </w:tc>
        <w:tc>
          <w:tcPr>
            <w:tcW w:w="2552" w:type="dxa"/>
          </w:tcPr>
          <w:p w:rsidR="00980BD2" w:rsidRPr="00FE68CF" w:rsidRDefault="00FE68CF" w:rsidP="00980BD2">
            <w:pPr>
              <w:tabs>
                <w:tab w:val="left" w:pos="709"/>
                <w:tab w:val="left" w:pos="3119"/>
                <w:tab w:val="left" w:pos="6237"/>
              </w:tabs>
              <w:suppressAutoHyphens/>
              <w:spacing w:after="60" w:line="240" w:lineRule="exact"/>
              <w:rPr>
                <w:b/>
                <w:spacing w:val="-2"/>
                <w:sz w:val="23"/>
                <w:szCs w:val="23"/>
              </w:rPr>
            </w:pPr>
            <w:r w:rsidRPr="00FE68CF">
              <w:rPr>
                <w:b/>
                <w:spacing w:val="-2"/>
                <w:sz w:val="23"/>
                <w:szCs w:val="23"/>
              </w:rPr>
              <w:t>4 August 2016</w:t>
            </w:r>
          </w:p>
        </w:tc>
        <w:tc>
          <w:tcPr>
            <w:tcW w:w="3006" w:type="dxa"/>
          </w:tcPr>
          <w:p w:rsidR="00980BD2" w:rsidRPr="00FE68CF" w:rsidRDefault="000713BE" w:rsidP="000713BE">
            <w:pPr>
              <w:tabs>
                <w:tab w:val="left" w:pos="709"/>
                <w:tab w:val="left" w:pos="3119"/>
                <w:tab w:val="left" w:pos="6237"/>
              </w:tabs>
              <w:suppressAutoHyphens/>
              <w:spacing w:after="60" w:line="240" w:lineRule="exact"/>
              <w:rPr>
                <w:b/>
                <w:spacing w:val="-2"/>
                <w:sz w:val="23"/>
                <w:szCs w:val="23"/>
              </w:rPr>
            </w:pPr>
            <w:r>
              <w:rPr>
                <w:b/>
                <w:spacing w:val="-2"/>
                <w:sz w:val="23"/>
                <w:szCs w:val="23"/>
              </w:rPr>
              <w:t>25 August 2016</w:t>
            </w:r>
            <w:r w:rsidR="00FE68CF" w:rsidRPr="00FE68CF">
              <w:rPr>
                <w:b/>
                <w:spacing w:val="-2"/>
                <w:sz w:val="23"/>
                <w:szCs w:val="23"/>
              </w:rPr>
              <w:t xml:space="preserve">, p. </w:t>
            </w:r>
            <w:r>
              <w:rPr>
                <w:b/>
                <w:spacing w:val="-2"/>
                <w:sz w:val="23"/>
                <w:szCs w:val="23"/>
              </w:rPr>
              <w:t>3416</w:t>
            </w:r>
            <w:bookmarkStart w:id="0" w:name="_GoBack"/>
            <w:bookmarkEnd w:id="0"/>
          </w:p>
        </w:tc>
        <w:tc>
          <w:tcPr>
            <w:tcW w:w="3006" w:type="dxa"/>
          </w:tcPr>
          <w:p w:rsidR="00980BD2" w:rsidRPr="00FE68CF" w:rsidRDefault="00FE68CF" w:rsidP="00980BD2">
            <w:pPr>
              <w:tabs>
                <w:tab w:val="left" w:pos="709"/>
                <w:tab w:val="left" w:pos="3119"/>
                <w:tab w:val="left" w:pos="6237"/>
              </w:tabs>
              <w:suppressAutoHyphens/>
              <w:spacing w:after="60" w:line="240" w:lineRule="exact"/>
              <w:rPr>
                <w:b/>
                <w:spacing w:val="-2"/>
                <w:sz w:val="23"/>
                <w:szCs w:val="23"/>
              </w:rPr>
            </w:pPr>
            <w:r w:rsidRPr="00FE68CF">
              <w:rPr>
                <w:b/>
                <w:spacing w:val="-2"/>
                <w:sz w:val="23"/>
                <w:szCs w:val="23"/>
              </w:rPr>
              <w:t>1 September 2016</w:t>
            </w:r>
          </w:p>
        </w:tc>
      </w:tr>
      <w:tr w:rsidR="00980BD2" w:rsidRPr="00980BD2" w:rsidTr="00FE68CF">
        <w:tc>
          <w:tcPr>
            <w:tcW w:w="675" w:type="dxa"/>
          </w:tcPr>
          <w:p w:rsidR="00980BD2" w:rsidRPr="00980BD2" w:rsidRDefault="00980BD2" w:rsidP="00980BD2">
            <w:pPr>
              <w:tabs>
                <w:tab w:val="left" w:pos="709"/>
                <w:tab w:val="left" w:pos="3119"/>
                <w:tab w:val="left" w:pos="6237"/>
              </w:tabs>
              <w:suppressAutoHyphens/>
              <w:spacing w:after="60" w:line="240" w:lineRule="exact"/>
              <w:rPr>
                <w:b/>
                <w:spacing w:val="-2"/>
                <w:sz w:val="23"/>
                <w:szCs w:val="23"/>
              </w:rPr>
            </w:pPr>
          </w:p>
        </w:tc>
        <w:tc>
          <w:tcPr>
            <w:tcW w:w="2552" w:type="dxa"/>
          </w:tcPr>
          <w:p w:rsidR="00980BD2" w:rsidRPr="00980BD2" w:rsidRDefault="00980BD2" w:rsidP="00980BD2">
            <w:pPr>
              <w:tabs>
                <w:tab w:val="left" w:pos="709"/>
                <w:tab w:val="left" w:pos="3119"/>
                <w:tab w:val="left" w:pos="6237"/>
              </w:tabs>
              <w:suppressAutoHyphens/>
              <w:spacing w:after="60" w:line="240" w:lineRule="exact"/>
              <w:rPr>
                <w:b/>
                <w:spacing w:val="-2"/>
                <w:sz w:val="23"/>
                <w:szCs w:val="23"/>
              </w:rPr>
            </w:pPr>
          </w:p>
        </w:tc>
        <w:tc>
          <w:tcPr>
            <w:tcW w:w="3006" w:type="dxa"/>
          </w:tcPr>
          <w:p w:rsidR="00980BD2" w:rsidRPr="00980BD2" w:rsidRDefault="00980BD2" w:rsidP="00980BD2">
            <w:pPr>
              <w:tabs>
                <w:tab w:val="left" w:pos="709"/>
                <w:tab w:val="left" w:pos="3119"/>
                <w:tab w:val="left" w:pos="6237"/>
              </w:tabs>
              <w:suppressAutoHyphens/>
              <w:spacing w:after="60" w:line="240" w:lineRule="exact"/>
              <w:rPr>
                <w:b/>
                <w:spacing w:val="-2"/>
                <w:sz w:val="23"/>
                <w:szCs w:val="23"/>
              </w:rPr>
            </w:pPr>
          </w:p>
        </w:tc>
        <w:tc>
          <w:tcPr>
            <w:tcW w:w="3006" w:type="dxa"/>
          </w:tcPr>
          <w:p w:rsidR="00980BD2" w:rsidRPr="00980BD2" w:rsidRDefault="00980BD2" w:rsidP="00980BD2">
            <w:pPr>
              <w:tabs>
                <w:tab w:val="left" w:pos="709"/>
                <w:tab w:val="left" w:pos="3119"/>
                <w:tab w:val="left" w:pos="6237"/>
              </w:tabs>
              <w:suppressAutoHyphens/>
              <w:spacing w:after="60" w:line="240" w:lineRule="exact"/>
              <w:rPr>
                <w:b/>
                <w:spacing w:val="-2"/>
                <w:sz w:val="23"/>
                <w:szCs w:val="23"/>
              </w:rPr>
            </w:pPr>
          </w:p>
        </w:tc>
      </w:tr>
      <w:tr w:rsidR="00980BD2" w:rsidRPr="00980BD2" w:rsidTr="00FE68CF">
        <w:tc>
          <w:tcPr>
            <w:tcW w:w="675" w:type="dxa"/>
          </w:tcPr>
          <w:p w:rsidR="00980BD2" w:rsidRPr="00980BD2" w:rsidRDefault="00980BD2" w:rsidP="00980BD2">
            <w:pPr>
              <w:tabs>
                <w:tab w:val="left" w:pos="709"/>
                <w:tab w:val="left" w:pos="3119"/>
                <w:tab w:val="left" w:pos="6237"/>
              </w:tabs>
              <w:suppressAutoHyphens/>
              <w:spacing w:after="60" w:line="240" w:lineRule="exact"/>
              <w:rPr>
                <w:spacing w:val="-2"/>
                <w:sz w:val="23"/>
                <w:szCs w:val="23"/>
              </w:rPr>
            </w:pPr>
          </w:p>
        </w:tc>
        <w:tc>
          <w:tcPr>
            <w:tcW w:w="2552" w:type="dxa"/>
          </w:tcPr>
          <w:p w:rsidR="00980BD2" w:rsidRPr="00980BD2" w:rsidRDefault="00980BD2" w:rsidP="00980BD2">
            <w:pPr>
              <w:tabs>
                <w:tab w:val="left" w:pos="709"/>
                <w:tab w:val="left" w:pos="3119"/>
                <w:tab w:val="left" w:pos="6237"/>
              </w:tabs>
              <w:suppressAutoHyphens/>
              <w:spacing w:after="60" w:line="240" w:lineRule="exact"/>
              <w:rPr>
                <w:spacing w:val="-2"/>
                <w:sz w:val="23"/>
                <w:szCs w:val="23"/>
              </w:rPr>
            </w:pPr>
          </w:p>
        </w:tc>
        <w:tc>
          <w:tcPr>
            <w:tcW w:w="3006" w:type="dxa"/>
          </w:tcPr>
          <w:p w:rsidR="00980BD2" w:rsidRPr="00980BD2" w:rsidRDefault="00980BD2" w:rsidP="00980BD2">
            <w:pPr>
              <w:tabs>
                <w:tab w:val="left" w:pos="709"/>
                <w:tab w:val="left" w:pos="3119"/>
                <w:tab w:val="left" w:pos="6237"/>
              </w:tabs>
              <w:suppressAutoHyphens/>
              <w:spacing w:after="60" w:line="240" w:lineRule="exact"/>
              <w:rPr>
                <w:spacing w:val="-2"/>
                <w:sz w:val="23"/>
                <w:szCs w:val="23"/>
              </w:rPr>
            </w:pPr>
          </w:p>
        </w:tc>
        <w:tc>
          <w:tcPr>
            <w:tcW w:w="3006" w:type="dxa"/>
          </w:tcPr>
          <w:p w:rsidR="00980BD2" w:rsidRPr="00980BD2" w:rsidRDefault="00980BD2" w:rsidP="00980BD2">
            <w:pPr>
              <w:tabs>
                <w:tab w:val="left" w:pos="709"/>
                <w:tab w:val="left" w:pos="3119"/>
                <w:tab w:val="left" w:pos="6237"/>
              </w:tabs>
              <w:suppressAutoHyphens/>
              <w:spacing w:after="60" w:line="240" w:lineRule="exact"/>
              <w:rPr>
                <w:spacing w:val="-2"/>
                <w:sz w:val="23"/>
                <w:szCs w:val="23"/>
              </w:rPr>
            </w:pPr>
          </w:p>
        </w:tc>
      </w:tr>
    </w:tbl>
    <w:p w:rsidR="00980BD2" w:rsidRPr="00980BD2" w:rsidRDefault="00980BD2" w:rsidP="00980BD2">
      <w:pPr>
        <w:suppressAutoHyphens/>
        <w:spacing w:line="240" w:lineRule="exact"/>
        <w:rPr>
          <w:spacing w:val="-2"/>
          <w:sz w:val="23"/>
          <w:szCs w:val="23"/>
        </w:rPr>
      </w:pPr>
    </w:p>
    <w:p w:rsidR="00980BD2" w:rsidRPr="00980BD2" w:rsidRDefault="00980BD2" w:rsidP="00980BD2">
      <w:pPr>
        <w:jc w:val="both"/>
      </w:pPr>
      <w:r w:rsidRPr="00980BD2">
        <w:t xml:space="preserve">By virtue and in pursuance of Section 51 of the </w:t>
      </w:r>
      <w:r w:rsidRPr="00980BD2">
        <w:rPr>
          <w:i/>
        </w:rPr>
        <w:t>District Court Act 1991</w:t>
      </w:r>
      <w:r w:rsidRPr="00980BD2">
        <w:t xml:space="preserve"> and all other enabling powers, we, Geoffrey Louis Muecke, Chief Judge, and Rauf Soulio and Paul Vincent Slattery, Judges of the District Court of South Australia, make the following Rules of Court.</w:t>
      </w:r>
    </w:p>
    <w:p w:rsidR="00980BD2" w:rsidRDefault="00980BD2" w:rsidP="004E4278">
      <w:pPr>
        <w:jc w:val="both"/>
        <w:rPr>
          <w:spacing w:val="-2"/>
          <w:szCs w:val="23"/>
        </w:rPr>
      </w:pPr>
    </w:p>
    <w:p w:rsidR="000F6423" w:rsidRDefault="000F6423" w:rsidP="000F6423">
      <w:pPr>
        <w:pStyle w:val="clausehead"/>
        <w:rPr>
          <w:color w:val="auto"/>
          <w:sz w:val="28"/>
          <w:szCs w:val="28"/>
        </w:rPr>
      </w:pPr>
      <w:bookmarkStart w:id="1" w:name="Elkera_Print_TOC10"/>
      <w:bookmarkStart w:id="2" w:name="_Toc383773267"/>
      <w:bookmarkStart w:id="3" w:name="_Toc383775050"/>
      <w:bookmarkStart w:id="4" w:name="_Toc390344835"/>
      <w:bookmarkStart w:id="5" w:name="_Toc436145870"/>
      <w:r>
        <w:rPr>
          <w:color w:val="auto"/>
          <w:sz w:val="28"/>
          <w:szCs w:val="28"/>
        </w:rPr>
        <w:t>1—Citation</w:t>
      </w:r>
      <w:bookmarkEnd w:id="1"/>
      <w:bookmarkEnd w:id="2"/>
      <w:bookmarkEnd w:id="3"/>
      <w:bookmarkEnd w:id="4"/>
      <w:bookmarkEnd w:id="5"/>
    </w:p>
    <w:p w:rsidR="000F6423" w:rsidRPr="001A6811" w:rsidRDefault="000F6423" w:rsidP="000F6423">
      <w:pPr>
        <w:pStyle w:val="IndentedPara"/>
        <w:rPr>
          <w:szCs w:val="24"/>
        </w:rPr>
      </w:pPr>
      <w:r w:rsidRPr="001A6811">
        <w:rPr>
          <w:szCs w:val="24"/>
        </w:rPr>
        <w:t xml:space="preserve">These rules may be cited as the </w:t>
      </w:r>
      <w:r w:rsidRPr="001A6811">
        <w:rPr>
          <w:i/>
          <w:szCs w:val="24"/>
        </w:rPr>
        <w:t>District Court Fast Track Supplementary Rules Adoption Rules 2014</w:t>
      </w:r>
      <w:r w:rsidRPr="001A6811">
        <w:rPr>
          <w:szCs w:val="24"/>
        </w:rPr>
        <w:t>.</w:t>
      </w:r>
    </w:p>
    <w:p w:rsidR="000F6423" w:rsidRDefault="000F6423" w:rsidP="000F6423">
      <w:pPr>
        <w:pStyle w:val="clausehead"/>
        <w:rPr>
          <w:color w:val="auto"/>
          <w:sz w:val="28"/>
          <w:szCs w:val="28"/>
        </w:rPr>
      </w:pPr>
      <w:bookmarkStart w:id="6" w:name="Elkera_Print_TOC11"/>
      <w:bookmarkStart w:id="7" w:name="_Toc383773268"/>
      <w:bookmarkStart w:id="8" w:name="_Toc383775051"/>
      <w:bookmarkStart w:id="9" w:name="_Toc390344836"/>
      <w:bookmarkStart w:id="10" w:name="_Toc436145871"/>
      <w:r>
        <w:rPr>
          <w:color w:val="auto"/>
          <w:sz w:val="28"/>
          <w:szCs w:val="28"/>
        </w:rPr>
        <w:t>2—Commencement</w:t>
      </w:r>
      <w:bookmarkEnd w:id="6"/>
      <w:bookmarkEnd w:id="7"/>
      <w:bookmarkEnd w:id="8"/>
      <w:bookmarkEnd w:id="9"/>
      <w:bookmarkEnd w:id="10"/>
    </w:p>
    <w:p w:rsidR="000F6423" w:rsidRPr="001A6811" w:rsidRDefault="000F6423" w:rsidP="000F6423">
      <w:pPr>
        <w:pStyle w:val="IndentedPara"/>
        <w:rPr>
          <w:szCs w:val="24"/>
        </w:rPr>
      </w:pPr>
      <w:r w:rsidRPr="001A6811">
        <w:rPr>
          <w:szCs w:val="24"/>
        </w:rPr>
        <w:t>These rules commence on 1 October 2014.</w:t>
      </w:r>
    </w:p>
    <w:p w:rsidR="000F6423" w:rsidRDefault="000F6423" w:rsidP="000F6423">
      <w:pPr>
        <w:pStyle w:val="clausehead"/>
        <w:rPr>
          <w:color w:val="auto"/>
          <w:sz w:val="28"/>
          <w:szCs w:val="28"/>
        </w:rPr>
      </w:pPr>
      <w:bookmarkStart w:id="11" w:name="_Toc390344837"/>
      <w:bookmarkStart w:id="12" w:name="_Toc436145872"/>
      <w:r>
        <w:rPr>
          <w:color w:val="auto"/>
          <w:sz w:val="28"/>
          <w:szCs w:val="28"/>
        </w:rPr>
        <w:t>3—Adoption</w:t>
      </w:r>
      <w:bookmarkEnd w:id="11"/>
      <w:bookmarkEnd w:id="12"/>
    </w:p>
    <w:p w:rsidR="000F6423" w:rsidRPr="001A6811" w:rsidRDefault="000F6423" w:rsidP="000F6423">
      <w:pPr>
        <w:pStyle w:val="IndentedPara"/>
        <w:rPr>
          <w:szCs w:val="24"/>
        </w:rPr>
      </w:pPr>
      <w:r w:rsidRPr="001A6811">
        <w:rPr>
          <w:szCs w:val="24"/>
        </w:rPr>
        <w:t xml:space="preserve">Schedule 1 to these rules forms part of the rules of this Court made pursuant to section 51 of the </w:t>
      </w:r>
      <w:r w:rsidRPr="001A6811">
        <w:rPr>
          <w:i/>
          <w:szCs w:val="24"/>
        </w:rPr>
        <w:t>Distric</w:t>
      </w:r>
      <w:r w:rsidRPr="001A6811">
        <w:rPr>
          <w:szCs w:val="24"/>
        </w:rPr>
        <w:t>t</w:t>
      </w:r>
      <w:r w:rsidRPr="001A6811">
        <w:rPr>
          <w:i/>
          <w:szCs w:val="24"/>
        </w:rPr>
        <w:t xml:space="preserve"> Court Act 1991 </w:t>
      </w:r>
      <w:r w:rsidRPr="001A6811">
        <w:rPr>
          <w:szCs w:val="24"/>
        </w:rPr>
        <w:t xml:space="preserve">and may be cited as the </w:t>
      </w:r>
      <w:r w:rsidRPr="001A6811">
        <w:rPr>
          <w:i/>
          <w:szCs w:val="24"/>
        </w:rPr>
        <w:t>Fast Track Supplementary Rules 2014</w:t>
      </w:r>
      <w:r w:rsidRPr="001A6811">
        <w:rPr>
          <w:szCs w:val="24"/>
        </w:rPr>
        <w:t>.</w:t>
      </w:r>
    </w:p>
    <w:p w:rsidR="000F6423" w:rsidRDefault="000F6423" w:rsidP="000F6423">
      <w:pPr>
        <w:jc w:val="both"/>
        <w:rPr>
          <w:sz w:val="28"/>
          <w:szCs w:val="28"/>
          <w:lang w:val="en-US"/>
        </w:rPr>
      </w:pPr>
    </w:p>
    <w:p w:rsidR="000F6423" w:rsidRDefault="000F6423" w:rsidP="000F6423">
      <w:pPr>
        <w:jc w:val="both"/>
        <w:rPr>
          <w:sz w:val="28"/>
          <w:szCs w:val="28"/>
          <w:lang w:val="en-US"/>
        </w:rPr>
      </w:pPr>
    </w:p>
    <w:p w:rsidR="0073112A" w:rsidRDefault="0073112A">
      <w:pPr>
        <w:rPr>
          <w:sz w:val="22"/>
          <w:szCs w:val="22"/>
          <w:lang w:val="en-AU"/>
        </w:rPr>
        <w:sectPr w:rsidR="0073112A" w:rsidSect="00980BD2">
          <w:footerReference w:type="default" r:id="rId7"/>
          <w:footerReference w:type="first" r:id="rId8"/>
          <w:pgSz w:w="11906" w:h="16838"/>
          <w:pgMar w:top="1440" w:right="1440" w:bottom="1440" w:left="1440" w:header="708" w:footer="708" w:gutter="0"/>
          <w:pgNumType w:fmt="lowerRoman" w:start="1"/>
          <w:cols w:space="708"/>
          <w:titlePg/>
          <w:docGrid w:linePitch="360"/>
        </w:sectPr>
      </w:pPr>
    </w:p>
    <w:p w:rsidR="000F6423" w:rsidRPr="0073112A" w:rsidRDefault="000F6423" w:rsidP="000F6423">
      <w:pPr>
        <w:pStyle w:val="Heading1"/>
        <w:jc w:val="center"/>
        <w:rPr>
          <w:rFonts w:ascii="Times New Roman" w:hAnsi="Times New Roman"/>
          <w:sz w:val="28"/>
          <w:szCs w:val="28"/>
        </w:rPr>
      </w:pPr>
      <w:r w:rsidRPr="0073112A">
        <w:rPr>
          <w:rFonts w:ascii="Times New Roman" w:hAnsi="Times New Roman"/>
          <w:sz w:val="28"/>
          <w:szCs w:val="28"/>
        </w:rPr>
        <w:lastRenderedPageBreak/>
        <w:t>The Schedule</w:t>
      </w:r>
    </w:p>
    <w:p w:rsidR="000F6423" w:rsidRDefault="000F6423" w:rsidP="000F6423">
      <w:pPr>
        <w:jc w:val="center"/>
        <w:rPr>
          <w:b/>
        </w:rPr>
      </w:pPr>
    </w:p>
    <w:p w:rsidR="000F6423" w:rsidRPr="00C062C1" w:rsidRDefault="000F6423" w:rsidP="000F6423">
      <w:pPr>
        <w:spacing w:before="120" w:after="120"/>
        <w:jc w:val="center"/>
        <w:rPr>
          <w:b/>
          <w:bCs/>
          <w:sz w:val="36"/>
          <w:szCs w:val="36"/>
          <w:lang w:val="en-AU"/>
        </w:rPr>
      </w:pPr>
      <w:r>
        <w:rPr>
          <w:b/>
          <w:bCs/>
          <w:sz w:val="36"/>
          <w:szCs w:val="36"/>
          <w:lang w:val="en-AU"/>
        </w:rPr>
        <w:t xml:space="preserve">South </w:t>
      </w:r>
      <w:r w:rsidRPr="00C062C1">
        <w:rPr>
          <w:b/>
          <w:bCs/>
          <w:sz w:val="36"/>
          <w:szCs w:val="36"/>
          <w:lang w:val="en-AU"/>
        </w:rPr>
        <w:t>Australia</w:t>
      </w:r>
    </w:p>
    <w:p w:rsidR="000F6423" w:rsidRPr="00A45DB1" w:rsidRDefault="000F6423" w:rsidP="000F6423">
      <w:pPr>
        <w:spacing w:before="240" w:after="600"/>
        <w:jc w:val="center"/>
        <w:rPr>
          <w:b/>
          <w:bCs/>
          <w:sz w:val="44"/>
          <w:szCs w:val="44"/>
          <w:lang w:val="en-AU"/>
        </w:rPr>
      </w:pPr>
      <w:r w:rsidRPr="00A45DB1">
        <w:rPr>
          <w:b/>
          <w:bCs/>
          <w:sz w:val="44"/>
          <w:szCs w:val="44"/>
          <w:lang w:val="en-AU"/>
        </w:rPr>
        <w:t xml:space="preserve">Fast Track </w:t>
      </w:r>
      <w:r>
        <w:rPr>
          <w:b/>
          <w:bCs/>
          <w:sz w:val="44"/>
          <w:szCs w:val="44"/>
          <w:lang w:val="en-AU"/>
        </w:rPr>
        <w:t>Supplementary Rules</w:t>
      </w:r>
      <w:r w:rsidRPr="00A45DB1">
        <w:rPr>
          <w:b/>
          <w:bCs/>
          <w:sz w:val="44"/>
          <w:szCs w:val="44"/>
          <w:lang w:val="en-AU"/>
        </w:rPr>
        <w:t xml:space="preserve"> 2014</w:t>
      </w:r>
    </w:p>
    <w:p w:rsidR="000F6423" w:rsidRPr="00EF43E4" w:rsidRDefault="000F6423" w:rsidP="000F6423">
      <w:pPr>
        <w:spacing w:before="240"/>
        <w:rPr>
          <w:b/>
          <w:bCs/>
          <w:sz w:val="34"/>
          <w:szCs w:val="34"/>
          <w:lang w:val="en-AU"/>
        </w:rPr>
      </w:pPr>
      <w:r w:rsidRPr="00EF43E4">
        <w:rPr>
          <w:b/>
          <w:bCs/>
          <w:sz w:val="34"/>
          <w:szCs w:val="34"/>
          <w:lang w:val="en-AU"/>
        </w:rPr>
        <w:t>Contents</w:t>
      </w:r>
    </w:p>
    <w:p w:rsidR="00DA5593" w:rsidRDefault="007639FF">
      <w:pPr>
        <w:pStyle w:val="TOC3"/>
        <w:rPr>
          <w:rFonts w:asciiTheme="minorHAnsi" w:eastAsiaTheme="minorEastAsia" w:hAnsiTheme="minorHAnsi" w:cstheme="minorBidi"/>
          <w:noProof/>
          <w:sz w:val="22"/>
          <w:szCs w:val="22"/>
          <w:lang w:val="en-AU" w:eastAsia="en-AU"/>
        </w:rPr>
      </w:pPr>
      <w:r>
        <w:rPr>
          <w:b/>
          <w:lang w:val="en-AU"/>
        </w:rPr>
        <w:fldChar w:fldCharType="begin"/>
      </w:r>
      <w:r w:rsidR="000F6423">
        <w:rPr>
          <w:b/>
          <w:lang w:val="en-AU"/>
        </w:rPr>
        <w:instrText xml:space="preserve"> TOC \n \h \z \t "clausehead,3,Chapter,1,Part,2" </w:instrText>
      </w:r>
      <w:r>
        <w:rPr>
          <w:b/>
          <w:lang w:val="en-AU"/>
        </w:rPr>
        <w:fldChar w:fldCharType="separate"/>
      </w:r>
      <w:hyperlink w:anchor="_Toc436145870" w:history="1">
        <w:r w:rsidR="00DA5593" w:rsidRPr="00E063FC">
          <w:rPr>
            <w:rStyle w:val="Hyperlink"/>
            <w:noProof/>
          </w:rPr>
          <w:t>1—Citation</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71" w:history="1">
        <w:r w:rsidR="00DA5593" w:rsidRPr="00E063FC">
          <w:rPr>
            <w:rStyle w:val="Hyperlink"/>
            <w:noProof/>
          </w:rPr>
          <w:t>2—Commencement</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72" w:history="1">
        <w:r w:rsidR="00DA5593" w:rsidRPr="00E063FC">
          <w:rPr>
            <w:rStyle w:val="Hyperlink"/>
            <w:noProof/>
          </w:rPr>
          <w:t>3—Adoption</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873" w:history="1">
        <w:r w:rsidR="00DA5593" w:rsidRPr="00E063FC">
          <w:rPr>
            <w:rStyle w:val="Hyperlink"/>
            <w:noProof/>
          </w:rPr>
          <w:t>Chapter 1—Preliminary</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74" w:history="1">
        <w:r w:rsidR="00DA5593" w:rsidRPr="00E063FC">
          <w:rPr>
            <w:rStyle w:val="Hyperlink"/>
            <w:noProof/>
          </w:rPr>
          <w:t>Part 1—Formal provisions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75" w:history="1">
        <w:r w:rsidR="00DA5593" w:rsidRPr="00E063FC">
          <w:rPr>
            <w:rStyle w:val="Hyperlink"/>
            <w:noProof/>
          </w:rPr>
          <w:t>1—Citation</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76" w:history="1">
        <w:r w:rsidR="00DA5593" w:rsidRPr="00E063FC">
          <w:rPr>
            <w:rStyle w:val="Hyperlink"/>
            <w:noProof/>
          </w:rPr>
          <w:t>2—Commencement</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77" w:history="1">
        <w:r w:rsidR="00DA5593" w:rsidRPr="00E063FC">
          <w:rPr>
            <w:rStyle w:val="Hyperlink"/>
            <w:noProof/>
          </w:rPr>
          <w:t>Part 2—Objects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78" w:history="1">
        <w:r w:rsidR="00DA5593" w:rsidRPr="00E063FC">
          <w:rPr>
            <w:rStyle w:val="Hyperlink"/>
            <w:noProof/>
          </w:rPr>
          <w:t>3—Objects</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79" w:history="1">
        <w:r w:rsidR="00DA5593" w:rsidRPr="00E063FC">
          <w:rPr>
            <w:rStyle w:val="Hyperlink"/>
            <w:noProof/>
          </w:rPr>
          <w:t>Part 3—Interpretation</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80" w:history="1">
        <w:r w:rsidR="00DA5593" w:rsidRPr="00E063FC">
          <w:rPr>
            <w:rStyle w:val="Hyperlink"/>
            <w:noProof/>
          </w:rPr>
          <w:t>4—Interpretation</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81" w:history="1">
        <w:r w:rsidR="00DA5593" w:rsidRPr="00E063FC">
          <w:rPr>
            <w:rStyle w:val="Hyperlink"/>
            <w:noProof/>
          </w:rPr>
          <w:t>Part 4—Application of Supplementary Rules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82" w:history="1">
        <w:r w:rsidR="00DA5593" w:rsidRPr="00E063FC">
          <w:rPr>
            <w:rStyle w:val="Hyperlink"/>
            <w:noProof/>
          </w:rPr>
          <w:t>5—Application of Supplementary Rules</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883" w:history="1">
        <w:r w:rsidR="00DA5593" w:rsidRPr="00E063FC">
          <w:rPr>
            <w:rStyle w:val="Hyperlink"/>
            <w:noProof/>
          </w:rPr>
          <w:t>Chapter 2—Establishment of streams</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84" w:history="1">
        <w:r w:rsidR="00DA5593" w:rsidRPr="00E063FC">
          <w:rPr>
            <w:rStyle w:val="Hyperlink"/>
            <w:noProof/>
          </w:rPr>
          <w:t>Part 1—Establishment of streams</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85" w:history="1">
        <w:r w:rsidR="00DA5593" w:rsidRPr="00E063FC">
          <w:rPr>
            <w:rStyle w:val="Hyperlink"/>
            <w:noProof/>
          </w:rPr>
          <w:t>Part 2—Entry into and designation of streams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86" w:history="1">
        <w:r w:rsidR="00DA5593" w:rsidRPr="00E063FC">
          <w:rPr>
            <w:rStyle w:val="Hyperlink"/>
            <w:noProof/>
          </w:rPr>
          <w:t>6— Entry of proceedings into appropriate stream</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887" w:history="1">
        <w:r w:rsidR="00DA5593" w:rsidRPr="00E063FC">
          <w:rPr>
            <w:rStyle w:val="Hyperlink"/>
            <w:noProof/>
          </w:rPr>
          <w:t>Chapter 3—Entry into and transfer between streams</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88" w:history="1">
        <w:r w:rsidR="00DA5593" w:rsidRPr="00E063FC">
          <w:rPr>
            <w:rStyle w:val="Hyperlink"/>
            <w:noProof/>
          </w:rPr>
          <w:t>Part 1—Election into Fast Track Stream</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89" w:history="1">
        <w:r w:rsidR="00DA5593" w:rsidRPr="00E063FC">
          <w:rPr>
            <w:rStyle w:val="Hyperlink"/>
            <w:noProof/>
          </w:rPr>
          <w:t>7—Election of party</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90" w:history="1">
        <w:r w:rsidR="00DA5593" w:rsidRPr="00E063FC">
          <w:rPr>
            <w:rStyle w:val="Hyperlink"/>
            <w:noProof/>
          </w:rPr>
          <w:t>Part 2—Discretionary transfer between streams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91" w:history="1">
        <w:r w:rsidR="00DA5593" w:rsidRPr="00E063FC">
          <w:rPr>
            <w:rStyle w:val="Hyperlink"/>
            <w:noProof/>
          </w:rPr>
          <w:t>8—Criteria for discretionary transfer</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892" w:history="1">
        <w:r w:rsidR="00DA5593" w:rsidRPr="00E063FC">
          <w:rPr>
            <w:rStyle w:val="Hyperlink"/>
            <w:noProof/>
          </w:rPr>
          <w:t>Chapter 4—Elements of action at first instance</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893" w:history="1">
        <w:r w:rsidR="00DA5593" w:rsidRPr="00E063FC">
          <w:rPr>
            <w:rStyle w:val="Hyperlink"/>
            <w:noProof/>
          </w:rPr>
          <w:t>Chapter 5—Pre-trial procedures</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94" w:history="1">
        <w:r w:rsidR="00DA5593" w:rsidRPr="00E063FC">
          <w:rPr>
            <w:rStyle w:val="Hyperlink"/>
            <w:noProof/>
          </w:rPr>
          <w:t>Part 1—Preliminary hearing</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95" w:history="1">
        <w:r w:rsidR="00DA5593" w:rsidRPr="00E063FC">
          <w:rPr>
            <w:rStyle w:val="Hyperlink"/>
            <w:noProof/>
          </w:rPr>
          <w:t>9—Preliminary hearing</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96" w:history="1">
        <w:r w:rsidR="00DA5593" w:rsidRPr="00E063FC">
          <w:rPr>
            <w:rStyle w:val="Hyperlink"/>
            <w:noProof/>
          </w:rPr>
          <w:t>Part 2—Initial Hearing</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97" w:history="1">
        <w:r w:rsidR="00DA5593" w:rsidRPr="00E063FC">
          <w:rPr>
            <w:rStyle w:val="Hyperlink"/>
            <w:noProof/>
          </w:rPr>
          <w:t>10—Initial Hearing</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898" w:history="1">
        <w:r w:rsidR="00DA5593" w:rsidRPr="00E063FC">
          <w:rPr>
            <w:rStyle w:val="Hyperlink"/>
            <w:noProof/>
          </w:rPr>
          <w:t>Part 3—Pre-Trial Hearing</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899" w:history="1">
        <w:r w:rsidR="00DA5593" w:rsidRPr="00E063FC">
          <w:rPr>
            <w:rStyle w:val="Hyperlink"/>
            <w:noProof/>
          </w:rPr>
          <w:t>11—Pre-Trial Hearing</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900" w:history="1">
        <w:r w:rsidR="00DA5593" w:rsidRPr="00E063FC">
          <w:rPr>
            <w:rStyle w:val="Hyperlink"/>
            <w:noProof/>
          </w:rPr>
          <w:t>Chapter 6—*************************************</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01" w:history="1">
        <w:r w:rsidR="00DA5593" w:rsidRPr="00E063FC">
          <w:rPr>
            <w:rStyle w:val="Hyperlink"/>
            <w:noProof/>
          </w:rPr>
          <w:t>12—***********************************************************</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02" w:history="1">
        <w:r w:rsidR="00DA5593" w:rsidRPr="00E063FC">
          <w:rPr>
            <w:rStyle w:val="Hyperlink"/>
            <w:noProof/>
          </w:rPr>
          <w:t>13—***********************************************************</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903" w:history="1">
        <w:r w:rsidR="00DA5593" w:rsidRPr="00E063FC">
          <w:rPr>
            <w:rStyle w:val="Hyperlink"/>
            <w:noProof/>
            <w:kern w:val="32"/>
          </w:rPr>
          <w:t>Chapter 7—Trial</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04" w:history="1">
        <w:r w:rsidR="00DA5593" w:rsidRPr="00E063FC">
          <w:rPr>
            <w:rStyle w:val="Hyperlink"/>
            <w:noProof/>
          </w:rPr>
          <w:t>14—Reasons for judgment</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905" w:history="1">
        <w:r w:rsidR="00DA5593" w:rsidRPr="00E063FC">
          <w:rPr>
            <w:rStyle w:val="Hyperlink"/>
            <w:noProof/>
          </w:rPr>
          <w:t>Chapter 8—Costs</w:t>
        </w:r>
      </w:hyperlink>
    </w:p>
    <w:p w:rsidR="00DA5593" w:rsidRDefault="000713BE">
      <w:pPr>
        <w:pStyle w:val="TOC2"/>
        <w:tabs>
          <w:tab w:val="right" w:leader="dot" w:pos="9016"/>
        </w:tabs>
        <w:rPr>
          <w:rFonts w:asciiTheme="minorHAnsi" w:eastAsiaTheme="minorEastAsia" w:hAnsiTheme="minorHAnsi" w:cstheme="minorBidi"/>
          <w:noProof/>
          <w:sz w:val="22"/>
          <w:szCs w:val="22"/>
          <w:lang w:val="en-AU" w:eastAsia="en-AU"/>
        </w:rPr>
      </w:pPr>
      <w:hyperlink w:anchor="_Toc436145906" w:history="1">
        <w:r w:rsidR="00DA5593" w:rsidRPr="00E063FC">
          <w:rPr>
            <w:rStyle w:val="Hyperlink"/>
            <w:noProof/>
          </w:rPr>
          <w:t>Part 1—Court’s discretion as to costs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07" w:history="1">
        <w:r w:rsidR="00DA5593" w:rsidRPr="00E063FC">
          <w:rPr>
            <w:rStyle w:val="Hyperlink"/>
            <w:noProof/>
          </w:rPr>
          <w:t>15—Relevant Stages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08" w:history="1">
        <w:r w:rsidR="00DA5593" w:rsidRPr="00E063FC">
          <w:rPr>
            <w:rStyle w:val="Hyperlink"/>
            <w:noProof/>
          </w:rPr>
          <w:t>16—Costs scales</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909" w:history="1">
        <w:r w:rsidR="00DA5593" w:rsidRPr="00E063FC">
          <w:rPr>
            <w:rStyle w:val="Hyperlink"/>
            <w:noProof/>
          </w:rPr>
          <w:t>Chapter 9—Appeals</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10" w:history="1">
        <w:r w:rsidR="00DA5593" w:rsidRPr="00E063FC">
          <w:rPr>
            <w:rStyle w:val="Hyperlink"/>
            <w:noProof/>
          </w:rPr>
          <w:t>17—Fast Track Appeal Scale</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911" w:history="1">
        <w:r w:rsidR="00DA5593" w:rsidRPr="00E063FC">
          <w:rPr>
            <w:rStyle w:val="Hyperlink"/>
            <w:noProof/>
          </w:rPr>
          <w:t>Schedule 1 — Fast Track Scales of Costs</w:t>
        </w:r>
      </w:hyperlink>
    </w:p>
    <w:p w:rsidR="00DA5593" w:rsidRDefault="000713BE">
      <w:pPr>
        <w:pStyle w:val="TOC1"/>
        <w:tabs>
          <w:tab w:val="right" w:leader="dot" w:pos="9016"/>
        </w:tabs>
        <w:rPr>
          <w:rFonts w:asciiTheme="minorHAnsi" w:eastAsiaTheme="minorEastAsia" w:hAnsiTheme="minorHAnsi" w:cstheme="minorBidi"/>
          <w:b w:val="0"/>
          <w:noProof/>
          <w:sz w:val="22"/>
          <w:szCs w:val="22"/>
          <w:lang w:val="en-AU" w:eastAsia="en-AU"/>
        </w:rPr>
      </w:pPr>
      <w:hyperlink w:anchor="_Toc436145912" w:history="1">
        <w:r w:rsidR="00DA5593" w:rsidRPr="00E063FC">
          <w:rPr>
            <w:rStyle w:val="Hyperlink"/>
            <w:noProof/>
          </w:rPr>
          <w:t>Schedule 2 — Approved Forms</w:t>
        </w:r>
      </w:hyperlink>
    </w:p>
    <w:p w:rsidR="00DA5593" w:rsidRDefault="000713BE">
      <w:pPr>
        <w:pStyle w:val="TOC3"/>
        <w:tabs>
          <w:tab w:val="left" w:pos="2056"/>
        </w:tabs>
        <w:rPr>
          <w:rFonts w:asciiTheme="minorHAnsi" w:eastAsiaTheme="minorEastAsia" w:hAnsiTheme="minorHAnsi" w:cstheme="minorBidi"/>
          <w:noProof/>
          <w:sz w:val="22"/>
          <w:szCs w:val="22"/>
          <w:lang w:val="en-AU" w:eastAsia="en-AU"/>
        </w:rPr>
      </w:pPr>
      <w:hyperlink w:anchor="_Toc436145913" w:history="1">
        <w:r w:rsidR="00DA5593" w:rsidRPr="00E063FC">
          <w:rPr>
            <w:rStyle w:val="Hyperlink"/>
            <w:noProof/>
          </w:rPr>
          <w:t xml:space="preserve">Form FTS 1   </w:t>
        </w:r>
        <w:r w:rsidR="00DA5593">
          <w:rPr>
            <w:rFonts w:asciiTheme="minorHAnsi" w:eastAsiaTheme="minorEastAsia" w:hAnsiTheme="minorHAnsi" w:cstheme="minorBidi"/>
            <w:noProof/>
            <w:sz w:val="22"/>
            <w:szCs w:val="22"/>
            <w:lang w:val="en-AU" w:eastAsia="en-AU"/>
          </w:rPr>
          <w:tab/>
        </w:r>
        <w:r w:rsidR="00DA5593" w:rsidRPr="00E063FC">
          <w:rPr>
            <w:rStyle w:val="Hyperlink"/>
            <w:noProof/>
          </w:rPr>
          <w:t>Election into Fast Track Stream</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14" w:history="1">
        <w:r w:rsidR="00DA5593" w:rsidRPr="00E063FC">
          <w:rPr>
            <w:rStyle w:val="Hyperlink"/>
            <w:noProof/>
          </w:rPr>
          <w:t>Form FTS 2A**********************************************************</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15" w:history="1">
        <w:r w:rsidR="00DA5593" w:rsidRPr="00E063FC">
          <w:rPr>
            <w:rStyle w:val="Hyperlink"/>
            <w:noProof/>
          </w:rPr>
          <w:t>Form FTS 2B*********************************************************</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16" w:history="1">
        <w:r w:rsidR="00DA5593" w:rsidRPr="00E063FC">
          <w:rPr>
            <w:rStyle w:val="Hyperlink"/>
            <w:noProof/>
          </w:rPr>
          <w:t>Form FTS 3***********************************************************</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17" w:history="1">
        <w:r w:rsidR="00DA5593" w:rsidRPr="00E063FC">
          <w:rPr>
            <w:rStyle w:val="Hyperlink"/>
            <w:noProof/>
          </w:rPr>
          <w:t>Form FTS 4A*********************************************************</w:t>
        </w:r>
      </w:hyperlink>
    </w:p>
    <w:p w:rsidR="00DA5593" w:rsidRDefault="000713BE">
      <w:pPr>
        <w:pStyle w:val="TOC3"/>
        <w:rPr>
          <w:rFonts w:asciiTheme="minorHAnsi" w:eastAsiaTheme="minorEastAsia" w:hAnsiTheme="minorHAnsi" w:cstheme="minorBidi"/>
          <w:noProof/>
          <w:sz w:val="22"/>
          <w:szCs w:val="22"/>
          <w:lang w:val="en-AU" w:eastAsia="en-AU"/>
        </w:rPr>
      </w:pPr>
      <w:hyperlink w:anchor="_Toc436145918" w:history="1">
        <w:r w:rsidR="00DA5593" w:rsidRPr="00E063FC">
          <w:rPr>
            <w:rStyle w:val="Hyperlink"/>
            <w:noProof/>
          </w:rPr>
          <w:t>Form FTS 4B**********************************************************</w:t>
        </w:r>
      </w:hyperlink>
    </w:p>
    <w:p w:rsidR="00DA5593" w:rsidRDefault="000713BE">
      <w:pPr>
        <w:pStyle w:val="TOC3"/>
        <w:tabs>
          <w:tab w:val="left" w:pos="2056"/>
        </w:tabs>
        <w:rPr>
          <w:rFonts w:asciiTheme="minorHAnsi" w:eastAsiaTheme="minorEastAsia" w:hAnsiTheme="minorHAnsi" w:cstheme="minorBidi"/>
          <w:noProof/>
          <w:sz w:val="22"/>
          <w:szCs w:val="22"/>
          <w:lang w:val="en-AU" w:eastAsia="en-AU"/>
        </w:rPr>
      </w:pPr>
      <w:hyperlink w:anchor="_Toc436145919" w:history="1">
        <w:r w:rsidR="00DA5593" w:rsidRPr="00E063FC">
          <w:rPr>
            <w:rStyle w:val="Hyperlink"/>
            <w:noProof/>
          </w:rPr>
          <w:t xml:space="preserve">Form FTS 5   </w:t>
        </w:r>
        <w:r w:rsidR="00DA5593">
          <w:rPr>
            <w:rFonts w:asciiTheme="minorHAnsi" w:eastAsiaTheme="minorEastAsia" w:hAnsiTheme="minorHAnsi" w:cstheme="minorBidi"/>
            <w:noProof/>
            <w:sz w:val="22"/>
            <w:szCs w:val="22"/>
            <w:lang w:val="en-AU" w:eastAsia="en-AU"/>
          </w:rPr>
          <w:tab/>
        </w:r>
        <w:r w:rsidR="00DA5593" w:rsidRPr="00E063FC">
          <w:rPr>
            <w:rStyle w:val="Hyperlink"/>
            <w:noProof/>
          </w:rPr>
          <w:t>Election for Fast Track Mid/High Scale</w:t>
        </w:r>
      </w:hyperlink>
    </w:p>
    <w:p w:rsidR="000F6423" w:rsidRDefault="007639FF" w:rsidP="000F6423">
      <w:pPr>
        <w:spacing w:before="240"/>
        <w:rPr>
          <w:b/>
          <w:sz w:val="30"/>
          <w:lang w:val="en-AU"/>
        </w:rPr>
        <w:sectPr w:rsidR="000F6423" w:rsidSect="00980BD2">
          <w:pgSz w:w="11906" w:h="16838"/>
          <w:pgMar w:top="1440" w:right="1440" w:bottom="1440" w:left="1440" w:header="708" w:footer="708" w:gutter="0"/>
          <w:pgNumType w:fmt="lowerRoman" w:start="1"/>
          <w:cols w:space="708"/>
          <w:titlePg/>
          <w:docGrid w:linePitch="360"/>
        </w:sectPr>
      </w:pPr>
      <w:r>
        <w:rPr>
          <w:b/>
          <w:sz w:val="30"/>
          <w:lang w:val="en-AU"/>
        </w:rPr>
        <w:fldChar w:fldCharType="end"/>
      </w:r>
    </w:p>
    <w:p w:rsidR="000F6423" w:rsidRPr="0077582C" w:rsidRDefault="000F6423" w:rsidP="000F6423">
      <w:pPr>
        <w:pStyle w:val="Chapter"/>
      </w:pPr>
      <w:bookmarkStart w:id="13" w:name="_Toc436145873"/>
      <w:r w:rsidRPr="0077582C">
        <w:lastRenderedPageBreak/>
        <w:t>Chapter 1</w:t>
      </w:r>
      <w:r>
        <w:t>—</w:t>
      </w:r>
      <w:r w:rsidRPr="0077582C">
        <w:t>Preliminary</w:t>
      </w:r>
      <w:bookmarkEnd w:id="13"/>
    </w:p>
    <w:p w:rsidR="000F6423" w:rsidRPr="00893899" w:rsidRDefault="000F6423" w:rsidP="000F6423">
      <w:pPr>
        <w:pStyle w:val="Part"/>
      </w:pPr>
      <w:bookmarkStart w:id="14" w:name="_Toc436145874"/>
      <w:r w:rsidRPr="00893899">
        <w:t>Part 1</w:t>
      </w:r>
      <w:r>
        <w:t>—F</w:t>
      </w:r>
      <w:r w:rsidRPr="00893899">
        <w:t>ormal provisions</w:t>
      </w:r>
      <w:bookmarkEnd w:id="14"/>
    </w:p>
    <w:p w:rsidR="000F6423" w:rsidRPr="00893899" w:rsidRDefault="000F6423" w:rsidP="000F6423">
      <w:pPr>
        <w:pStyle w:val="clausehead"/>
      </w:pPr>
      <w:bookmarkStart w:id="15" w:name="_Toc436145875"/>
      <w:r w:rsidRPr="00893899">
        <w:t>1—Citation</w:t>
      </w:r>
      <w:bookmarkEnd w:id="15"/>
    </w:p>
    <w:p w:rsidR="000F6423" w:rsidRDefault="000F6423" w:rsidP="000F6423">
      <w:pPr>
        <w:pStyle w:val="IndentedPara"/>
      </w:pPr>
      <w:r w:rsidRPr="001F7250">
        <w:t xml:space="preserve">These Supplementary Rules may be cited as the </w:t>
      </w:r>
      <w:r w:rsidRPr="001F7250">
        <w:rPr>
          <w:i/>
        </w:rPr>
        <w:t>Fast Track Supplementary Rules 2014</w:t>
      </w:r>
      <w:r w:rsidRPr="001F7250">
        <w:t>.</w:t>
      </w:r>
    </w:p>
    <w:p w:rsidR="000F6423" w:rsidRPr="00FD0537" w:rsidRDefault="000F6423" w:rsidP="000F6423">
      <w:pPr>
        <w:pStyle w:val="clausehead"/>
      </w:pPr>
      <w:bookmarkStart w:id="16" w:name="_Toc436145876"/>
      <w:r w:rsidRPr="00FD0537">
        <w:t>2—Commencement</w:t>
      </w:r>
      <w:bookmarkEnd w:id="16"/>
    </w:p>
    <w:p w:rsidR="000F6423" w:rsidRDefault="000F6423" w:rsidP="000F6423">
      <w:pPr>
        <w:pStyle w:val="IndentedPara"/>
      </w:pPr>
      <w:r>
        <w:t>These Supplementary Rules commence on 1 October 2014.</w:t>
      </w:r>
    </w:p>
    <w:p w:rsidR="000F6423" w:rsidRPr="0077582C" w:rsidRDefault="000F6423" w:rsidP="000F6423">
      <w:pPr>
        <w:pStyle w:val="Part"/>
      </w:pPr>
      <w:bookmarkStart w:id="17" w:name="_Toc436145877"/>
      <w:r w:rsidRPr="0077582C">
        <w:t>Part 2</w:t>
      </w:r>
      <w:r>
        <w:t>—</w:t>
      </w:r>
      <w:r w:rsidRPr="0077582C">
        <w:t>Objects</w:t>
      </w:r>
      <w:bookmarkEnd w:id="17"/>
    </w:p>
    <w:p w:rsidR="000F6423" w:rsidRPr="00FD0537" w:rsidRDefault="000F6423" w:rsidP="000F6423">
      <w:pPr>
        <w:pStyle w:val="clausehead"/>
      </w:pPr>
      <w:bookmarkStart w:id="18" w:name="_Toc436145878"/>
      <w:r w:rsidRPr="00FD0537">
        <w:t>3—Objects</w:t>
      </w:r>
      <w:bookmarkEnd w:id="18"/>
    </w:p>
    <w:p w:rsidR="000F6423" w:rsidRDefault="000F6423" w:rsidP="000F6423">
      <w:pPr>
        <w:pStyle w:val="Doublehangingindent"/>
        <w:jc w:val="both"/>
      </w:pPr>
      <w:r>
        <w:t>The objects of these Supplementary Rules</w:t>
      </w:r>
      <w:r w:rsidRPr="00612536">
        <w:t xml:space="preserve"> are</w:t>
      </w:r>
      <w:r>
        <w:t xml:space="preserve"> to</w:t>
      </w:r>
      <w:r w:rsidRPr="0049428E">
        <w:t>—</w:t>
      </w:r>
      <w:r>
        <w:t xml:space="preserve"> </w:t>
      </w:r>
    </w:p>
    <w:p w:rsidR="000F6423" w:rsidRDefault="000F6423" w:rsidP="000F6423">
      <w:pPr>
        <w:pStyle w:val="Doublehangingindent"/>
        <w:jc w:val="both"/>
      </w:pPr>
      <w:r>
        <w:t>(a)</w:t>
      </w:r>
      <w:r>
        <w:tab/>
        <w:t xml:space="preserve">make rules </w:t>
      </w:r>
      <w:r w:rsidRPr="006F6444">
        <w:t xml:space="preserve">necessary or </w:t>
      </w:r>
      <w:r>
        <w:t>convenient</w:t>
      </w:r>
      <w:r w:rsidRPr="006F6444">
        <w:t xml:space="preserve"> for the regulation of proceedings involving</w:t>
      </w:r>
      <w:r w:rsidRPr="00952AE2">
        <w:rPr>
          <w:lang w:val="en-US"/>
        </w:rPr>
        <w:t xml:space="preserve"> </w:t>
      </w:r>
      <w:r>
        <w:rPr>
          <w:lang w:val="en-US"/>
        </w:rPr>
        <w:t>the institution and transfer of proceedings into and out of</w:t>
      </w:r>
      <w:r w:rsidRPr="006F6444">
        <w:t xml:space="preserve"> the Fast Track Stream;</w:t>
      </w:r>
    </w:p>
    <w:p w:rsidR="000F6423" w:rsidRDefault="000F6423" w:rsidP="000F6423">
      <w:pPr>
        <w:pStyle w:val="Doublehangingindent"/>
        <w:jc w:val="both"/>
      </w:pPr>
      <w:r>
        <w:rPr>
          <w:lang w:val="en-US"/>
        </w:rPr>
        <w:t>(b)</w:t>
      </w:r>
      <w:r>
        <w:rPr>
          <w:lang w:val="en-US"/>
        </w:rPr>
        <w:tab/>
      </w:r>
      <w:r w:rsidRPr="008B143A">
        <w:rPr>
          <w:lang w:val="en-US"/>
        </w:rPr>
        <w:t>supplemen</w:t>
      </w:r>
      <w:r>
        <w:rPr>
          <w:lang w:val="en-US"/>
        </w:rPr>
        <w:t>t the Rules</w:t>
      </w:r>
      <w:r w:rsidRPr="008B143A">
        <w:rPr>
          <w:lang w:val="en-US"/>
        </w:rPr>
        <w:t>;</w:t>
      </w:r>
      <w:r w:rsidDel="00952AE2">
        <w:rPr>
          <w:lang w:val="en-US"/>
        </w:rPr>
        <w:t xml:space="preserve"> </w:t>
      </w:r>
    </w:p>
    <w:p w:rsidR="000F6423" w:rsidRPr="006F6444" w:rsidRDefault="000F6423" w:rsidP="000F6423">
      <w:pPr>
        <w:pStyle w:val="Doublehangingindent"/>
        <w:jc w:val="both"/>
      </w:pPr>
      <w:r>
        <w:rPr>
          <w:lang w:val="en-US"/>
        </w:rPr>
        <w:t xml:space="preserve">(c) </w:t>
      </w:r>
      <w:r>
        <w:rPr>
          <w:lang w:val="en-US"/>
        </w:rPr>
        <w:tab/>
      </w:r>
      <w:r w:rsidRPr="008B143A">
        <w:rPr>
          <w:lang w:val="en-US"/>
        </w:rPr>
        <w:t xml:space="preserve">modify the </w:t>
      </w:r>
      <w:r>
        <w:rPr>
          <w:lang w:val="en-US"/>
        </w:rPr>
        <w:t>R</w:t>
      </w:r>
      <w:r w:rsidRPr="008B143A">
        <w:rPr>
          <w:lang w:val="en-US"/>
        </w:rPr>
        <w:t>ules in respect of a particular category of proceedings;</w:t>
      </w:r>
    </w:p>
    <w:p w:rsidR="000F6423" w:rsidRPr="006F6444" w:rsidRDefault="000F6423" w:rsidP="000F6423">
      <w:pPr>
        <w:pStyle w:val="Doublehangingindent"/>
      </w:pPr>
      <w:r w:rsidRPr="006F6444">
        <w:t>(</w:t>
      </w:r>
      <w:r>
        <w:t>d</w:t>
      </w:r>
      <w:r w:rsidRPr="006F6444">
        <w:t>)</w:t>
      </w:r>
      <w:r w:rsidRPr="006F6444">
        <w:tab/>
        <w:t>prescribe approved forms; and</w:t>
      </w:r>
    </w:p>
    <w:p w:rsidR="000F6423" w:rsidRPr="006F6444" w:rsidRDefault="000F6423" w:rsidP="000F6423">
      <w:pPr>
        <w:pStyle w:val="Doublehangingindent"/>
      </w:pPr>
      <w:r>
        <w:t>(e)</w:t>
      </w:r>
      <w:r>
        <w:tab/>
      </w:r>
      <w:r w:rsidRPr="006F6444">
        <w:t>prescribe costs scales.</w:t>
      </w:r>
    </w:p>
    <w:p w:rsidR="000F6423" w:rsidRPr="0077582C" w:rsidRDefault="000F6423" w:rsidP="000F6423">
      <w:pPr>
        <w:pStyle w:val="Part"/>
      </w:pPr>
      <w:bookmarkStart w:id="19" w:name="_Toc436145879"/>
      <w:r w:rsidRPr="0077582C">
        <w:t>Part 3</w:t>
      </w:r>
      <w:r>
        <w:t>—</w:t>
      </w:r>
      <w:r w:rsidRPr="0077582C">
        <w:t>Interpretation</w:t>
      </w:r>
      <w:bookmarkEnd w:id="19"/>
    </w:p>
    <w:p w:rsidR="000F6423" w:rsidRPr="00FD0537" w:rsidRDefault="000F6423" w:rsidP="000F6423">
      <w:pPr>
        <w:pStyle w:val="clausehead"/>
        <w:spacing w:after="240"/>
      </w:pPr>
      <w:bookmarkStart w:id="20" w:name="_Toc436145880"/>
      <w:r w:rsidRPr="00FD0537">
        <w:t>4</w:t>
      </w:r>
      <w:r>
        <w:t>—</w:t>
      </w:r>
      <w:r w:rsidRPr="00FD0537">
        <w:t>Interpretation</w:t>
      </w:r>
      <w:bookmarkEnd w:id="20"/>
    </w:p>
    <w:p w:rsidR="000F6423" w:rsidRPr="006F6444" w:rsidRDefault="000F6423" w:rsidP="000F6423">
      <w:pPr>
        <w:pStyle w:val="Hangindent"/>
        <w:spacing w:after="240"/>
        <w:jc w:val="both"/>
        <w:rPr>
          <w:lang w:val="en-US"/>
        </w:rPr>
      </w:pPr>
      <w:r w:rsidRPr="006F6444">
        <w:rPr>
          <w:lang w:val="en-US"/>
        </w:rPr>
        <w:t>(1)</w:t>
      </w:r>
      <w:r w:rsidRPr="006F6444">
        <w:rPr>
          <w:lang w:val="en-US"/>
        </w:rPr>
        <w:tab/>
        <w:t xml:space="preserve">Unless the contrary intention appears, </w:t>
      </w:r>
      <w:r w:rsidRPr="00F33A19">
        <w:rPr>
          <w:lang w:val="en-US"/>
        </w:rPr>
        <w:t xml:space="preserve">terms which are defined by the </w:t>
      </w:r>
      <w:r w:rsidRPr="00FD4E4B">
        <w:rPr>
          <w:i/>
          <w:lang w:val="en-US"/>
        </w:rPr>
        <w:t>Fast Track Rules 2014</w:t>
      </w:r>
      <w:r>
        <w:rPr>
          <w:lang w:val="en-US"/>
        </w:rPr>
        <w:t xml:space="preserve"> </w:t>
      </w:r>
      <w:r w:rsidRPr="00F33A19">
        <w:rPr>
          <w:lang w:val="en-US"/>
        </w:rPr>
        <w:t>have the meaning defined by th</w:t>
      </w:r>
      <w:r>
        <w:rPr>
          <w:lang w:val="en-US"/>
        </w:rPr>
        <w:t>ose R</w:t>
      </w:r>
      <w:r w:rsidRPr="00F33A19">
        <w:rPr>
          <w:lang w:val="en-US"/>
        </w:rPr>
        <w:t>ules.</w:t>
      </w:r>
    </w:p>
    <w:p w:rsidR="000F6423" w:rsidRPr="006F6444" w:rsidRDefault="000F6423" w:rsidP="000F6423">
      <w:pPr>
        <w:pStyle w:val="Hangindent"/>
        <w:rPr>
          <w:lang w:val="en-US"/>
        </w:rPr>
      </w:pPr>
      <w:r w:rsidRPr="006F6444">
        <w:rPr>
          <w:lang w:val="en-US"/>
        </w:rPr>
        <w:t>(2)</w:t>
      </w:r>
      <w:r w:rsidRPr="006F6444">
        <w:rPr>
          <w:lang w:val="en-US"/>
        </w:rPr>
        <w:tab/>
        <w:t>In these</w:t>
      </w:r>
      <w:r>
        <w:rPr>
          <w:lang w:val="en-US"/>
        </w:rPr>
        <w:t xml:space="preserve"> </w:t>
      </w:r>
      <w:r>
        <w:t>Supplementary Rules</w:t>
      </w:r>
      <w:r w:rsidRPr="006F6444">
        <w:rPr>
          <w:lang w:val="en-US"/>
        </w:rPr>
        <w:t>, unless the contrary intention appears</w:t>
      </w:r>
      <w:r w:rsidRPr="0049428E">
        <w:rPr>
          <w:lang w:val="en-US"/>
        </w:rPr>
        <w:t>—</w:t>
      </w:r>
    </w:p>
    <w:p w:rsidR="000F6423" w:rsidRDefault="000F6423" w:rsidP="000F6423">
      <w:pPr>
        <w:pStyle w:val="Hangindent"/>
      </w:pPr>
      <w:r>
        <w:tab/>
      </w:r>
      <w:r w:rsidRPr="009E430E">
        <w:rPr>
          <w:b/>
          <w:i/>
        </w:rPr>
        <w:t>Fast Track Rules</w:t>
      </w:r>
      <w:r>
        <w:rPr>
          <w:b/>
        </w:rPr>
        <w:t xml:space="preserve"> </w:t>
      </w:r>
      <w:r w:rsidRPr="00EA1825">
        <w:t>or the</w:t>
      </w:r>
      <w:r>
        <w:rPr>
          <w:b/>
        </w:rPr>
        <w:t xml:space="preserve"> </w:t>
      </w:r>
      <w:r w:rsidRPr="00FD4E4B">
        <w:rPr>
          <w:b/>
          <w:i/>
        </w:rPr>
        <w:t>Rules</w:t>
      </w:r>
      <w:r>
        <w:rPr>
          <w:b/>
        </w:rPr>
        <w:t xml:space="preserve"> </w:t>
      </w:r>
      <w:r>
        <w:t xml:space="preserve">means the </w:t>
      </w:r>
      <w:r w:rsidRPr="0055789B">
        <w:rPr>
          <w:i/>
        </w:rPr>
        <w:t>Fast Track Rules 2014</w:t>
      </w:r>
      <w:r>
        <w:t>;</w:t>
      </w:r>
    </w:p>
    <w:p w:rsidR="000F6423" w:rsidRDefault="000F6423" w:rsidP="000F6423">
      <w:pPr>
        <w:pStyle w:val="IndentedPara"/>
        <w:ind w:left="1440"/>
        <w:jc w:val="both"/>
      </w:pPr>
      <w:r w:rsidRPr="0032020D">
        <w:rPr>
          <w:b/>
          <w:i/>
        </w:rPr>
        <w:t xml:space="preserve">General Civil </w:t>
      </w:r>
      <w:r>
        <w:rPr>
          <w:b/>
          <w:i/>
        </w:rPr>
        <w:t xml:space="preserve">Supplementary </w:t>
      </w:r>
      <w:r w:rsidRPr="0032020D">
        <w:rPr>
          <w:b/>
          <w:i/>
        </w:rPr>
        <w:t>Rules</w:t>
      </w:r>
      <w:r w:rsidRPr="00461297">
        <w:rPr>
          <w:i/>
        </w:rPr>
        <w:t xml:space="preserve"> </w:t>
      </w:r>
      <w:r w:rsidRPr="00461297">
        <w:t xml:space="preserve">means the </w:t>
      </w:r>
      <w:r>
        <w:t xml:space="preserve">supplementary </w:t>
      </w:r>
      <w:r w:rsidRPr="00461297">
        <w:t>rules</w:t>
      </w:r>
      <w:r>
        <w:t>, if any,</w:t>
      </w:r>
      <w:r w:rsidRPr="00461297">
        <w:t xml:space="preserve"> of the Court in which a matter is proceeding applying generally to civil proceedings, being</w:t>
      </w:r>
      <w:r w:rsidRPr="00F33A19">
        <w:t>—</w:t>
      </w:r>
      <w:r w:rsidRPr="00461297">
        <w:t xml:space="preserve"> </w:t>
      </w:r>
    </w:p>
    <w:p w:rsidR="000F6423" w:rsidRDefault="000F6423" w:rsidP="000F6423">
      <w:pPr>
        <w:pStyle w:val="Doublehangingindent"/>
        <w:ind w:left="2574"/>
        <w:jc w:val="both"/>
        <w:rPr>
          <w:lang w:val="en-US"/>
        </w:rPr>
      </w:pPr>
      <w:r w:rsidRPr="00461297">
        <w:rPr>
          <w:lang w:val="en-US"/>
        </w:rPr>
        <w:t>(a)</w:t>
      </w:r>
      <w:r w:rsidRPr="00461297">
        <w:rPr>
          <w:lang w:val="en-US"/>
        </w:rPr>
        <w:tab/>
        <w:t xml:space="preserve">the </w:t>
      </w:r>
      <w:r w:rsidRPr="00461297">
        <w:rPr>
          <w:i/>
          <w:lang w:val="en-US"/>
        </w:rPr>
        <w:t xml:space="preserve">Supreme Court Civil </w:t>
      </w:r>
      <w:r>
        <w:rPr>
          <w:i/>
          <w:lang w:val="en-US"/>
        </w:rPr>
        <w:t xml:space="preserve">Supplementary </w:t>
      </w:r>
      <w:r w:rsidRPr="00461297">
        <w:rPr>
          <w:i/>
          <w:lang w:val="en-US"/>
        </w:rPr>
        <w:t xml:space="preserve">Rules </w:t>
      </w:r>
      <w:r w:rsidRPr="00E40AEE">
        <w:rPr>
          <w:i/>
          <w:lang w:val="en-US"/>
        </w:rPr>
        <w:t>20</w:t>
      </w:r>
      <w:r>
        <w:rPr>
          <w:i/>
          <w:lang w:val="en-US"/>
        </w:rPr>
        <w:t>14</w:t>
      </w:r>
      <w:r w:rsidRPr="00461297">
        <w:rPr>
          <w:lang w:val="en-US"/>
        </w:rPr>
        <w:t xml:space="preserve"> in the Supreme Court; </w:t>
      </w:r>
    </w:p>
    <w:p w:rsidR="000F6423" w:rsidRDefault="000F6423" w:rsidP="000F6423">
      <w:pPr>
        <w:pStyle w:val="Doublehangingindent"/>
        <w:ind w:left="2574"/>
        <w:jc w:val="both"/>
        <w:rPr>
          <w:lang w:val="en-US"/>
        </w:rPr>
      </w:pPr>
      <w:r w:rsidRPr="00461297">
        <w:rPr>
          <w:lang w:val="en-US"/>
        </w:rPr>
        <w:t>(b)</w:t>
      </w:r>
      <w:r w:rsidRPr="00461297">
        <w:rPr>
          <w:lang w:val="en-US"/>
        </w:rPr>
        <w:tab/>
        <w:t xml:space="preserve">the </w:t>
      </w:r>
      <w:r w:rsidRPr="00461297">
        <w:rPr>
          <w:i/>
          <w:lang w:val="en-US"/>
        </w:rPr>
        <w:t xml:space="preserve">District Court Civil </w:t>
      </w:r>
      <w:r>
        <w:rPr>
          <w:i/>
          <w:lang w:val="en-US"/>
        </w:rPr>
        <w:t xml:space="preserve">Supplementary </w:t>
      </w:r>
      <w:r w:rsidRPr="00461297">
        <w:rPr>
          <w:i/>
          <w:lang w:val="en-US"/>
        </w:rPr>
        <w:t xml:space="preserve">Rules </w:t>
      </w:r>
      <w:r w:rsidRPr="00E40AEE">
        <w:rPr>
          <w:i/>
          <w:lang w:val="en-US"/>
        </w:rPr>
        <w:t>20</w:t>
      </w:r>
      <w:r>
        <w:rPr>
          <w:i/>
          <w:lang w:val="en-US"/>
        </w:rPr>
        <w:t>14</w:t>
      </w:r>
      <w:r>
        <w:rPr>
          <w:lang w:val="en-US"/>
        </w:rPr>
        <w:t xml:space="preserve"> in the District Court; </w:t>
      </w:r>
    </w:p>
    <w:p w:rsidR="000F6423" w:rsidRPr="00461297" w:rsidRDefault="000F6423" w:rsidP="000F6423">
      <w:pPr>
        <w:pStyle w:val="IndentedPara"/>
        <w:ind w:left="1440"/>
        <w:jc w:val="both"/>
      </w:pPr>
      <w:r>
        <w:t>or t</w:t>
      </w:r>
      <w:r w:rsidRPr="00461297">
        <w:t>heir</w:t>
      </w:r>
      <w:r>
        <w:t xml:space="preserve"> </w:t>
      </w:r>
      <w:r w:rsidRPr="00461297">
        <w:t>successors.</w:t>
      </w:r>
    </w:p>
    <w:p w:rsidR="000F6423" w:rsidRDefault="000F6423" w:rsidP="000F6423">
      <w:pPr>
        <w:pStyle w:val="Hangindent"/>
        <w:ind w:firstLine="0"/>
      </w:pPr>
      <w:r w:rsidRPr="009E430E">
        <w:rPr>
          <w:b/>
          <w:i/>
        </w:rPr>
        <w:t>principal relief</w:t>
      </w:r>
      <w:r>
        <w:t xml:space="preserve"> – see Schedule 1;</w:t>
      </w:r>
    </w:p>
    <w:p w:rsidR="000F6423" w:rsidRDefault="000F6423" w:rsidP="000F6423">
      <w:pPr>
        <w:pStyle w:val="Hangindent"/>
      </w:pPr>
      <w:r>
        <w:tab/>
      </w:r>
      <w:r w:rsidRPr="009E430E">
        <w:rPr>
          <w:b/>
          <w:i/>
        </w:rPr>
        <w:t>professional costs</w:t>
      </w:r>
      <w:r>
        <w:t xml:space="preserve"> </w:t>
      </w:r>
      <w:r w:rsidRPr="0049589B">
        <w:t xml:space="preserve">– see </w:t>
      </w:r>
      <w:r>
        <w:t>S</w:t>
      </w:r>
      <w:r w:rsidRPr="0049589B">
        <w:t>chedule</w:t>
      </w:r>
      <w:r>
        <w:t xml:space="preserve"> 1;</w:t>
      </w:r>
      <w:r w:rsidRPr="0049589B">
        <w:t xml:space="preserve"> </w:t>
      </w:r>
    </w:p>
    <w:p w:rsidR="000F6423" w:rsidRPr="00596031" w:rsidRDefault="000F6423" w:rsidP="000F6423">
      <w:pPr>
        <w:pStyle w:val="Hangindent"/>
      </w:pPr>
      <w:r>
        <w:rPr>
          <w:b/>
        </w:rPr>
        <w:tab/>
      </w:r>
      <w:r>
        <w:rPr>
          <w:b/>
          <w:i/>
        </w:rPr>
        <w:t>q</w:t>
      </w:r>
      <w:r w:rsidRPr="009E430E">
        <w:rPr>
          <w:b/>
          <w:i/>
        </w:rPr>
        <w:t>uantum</w:t>
      </w:r>
      <w:r>
        <w:rPr>
          <w:b/>
        </w:rPr>
        <w:t xml:space="preserve"> </w:t>
      </w:r>
      <w:r>
        <w:t>– see Schedule 1.</w:t>
      </w:r>
    </w:p>
    <w:p w:rsidR="000F6423" w:rsidRPr="0077582C" w:rsidRDefault="000F6423" w:rsidP="000F6423">
      <w:pPr>
        <w:pStyle w:val="Part"/>
      </w:pPr>
      <w:bookmarkStart w:id="21" w:name="_Toc436145881"/>
      <w:r w:rsidRPr="0077582C">
        <w:t>Part 4—Application o</w:t>
      </w:r>
      <w:r>
        <w:t>f Supplementary Rules</w:t>
      </w:r>
      <w:bookmarkEnd w:id="21"/>
    </w:p>
    <w:p w:rsidR="000F6423" w:rsidRPr="00FD0537" w:rsidRDefault="000F6423" w:rsidP="000F6423">
      <w:pPr>
        <w:pStyle w:val="clausehead"/>
        <w:spacing w:after="240"/>
      </w:pPr>
      <w:bookmarkStart w:id="22" w:name="_Toc436145882"/>
      <w:r w:rsidRPr="00FD0537">
        <w:t>5</w:t>
      </w:r>
      <w:r>
        <w:t>—Application of Supplementary Rules</w:t>
      </w:r>
      <w:bookmarkEnd w:id="22"/>
    </w:p>
    <w:p w:rsidR="000F6423" w:rsidRDefault="000F6423" w:rsidP="000F6423">
      <w:pPr>
        <w:pStyle w:val="Hangindent"/>
        <w:jc w:val="both"/>
        <w:rPr>
          <w:lang w:val="en-US"/>
        </w:rPr>
      </w:pPr>
      <w:r>
        <w:rPr>
          <w:lang w:val="en-US"/>
        </w:rPr>
        <w:t>(1)</w:t>
      </w:r>
      <w:r>
        <w:rPr>
          <w:lang w:val="en-US"/>
        </w:rPr>
        <w:tab/>
        <w:t>It is intended that t</w:t>
      </w:r>
      <w:r w:rsidRPr="00EA7F49">
        <w:rPr>
          <w:lang w:val="en-US"/>
        </w:rPr>
        <w:t xml:space="preserve">hese </w:t>
      </w:r>
      <w:r>
        <w:t xml:space="preserve">Supplementary </w:t>
      </w:r>
      <w:r>
        <w:rPr>
          <w:lang w:val="en-US"/>
        </w:rPr>
        <w:t>R</w:t>
      </w:r>
      <w:r w:rsidRPr="00EA7F49">
        <w:rPr>
          <w:lang w:val="en-US"/>
        </w:rPr>
        <w:t xml:space="preserve">ules operate in a Court if they are adopted by </w:t>
      </w:r>
      <w:r>
        <w:rPr>
          <w:lang w:val="en-US"/>
        </w:rPr>
        <w:t xml:space="preserve">that </w:t>
      </w:r>
      <w:r w:rsidRPr="00EA7F49">
        <w:rPr>
          <w:lang w:val="en-US"/>
        </w:rPr>
        <w:t>Court</w:t>
      </w:r>
      <w:r>
        <w:rPr>
          <w:lang w:val="en-US"/>
        </w:rPr>
        <w:t xml:space="preserve">. </w:t>
      </w:r>
    </w:p>
    <w:p w:rsidR="000F6423" w:rsidRDefault="000F6423" w:rsidP="000F6423">
      <w:pPr>
        <w:pStyle w:val="Hangindent"/>
        <w:jc w:val="both"/>
        <w:rPr>
          <w:lang w:val="en-US"/>
        </w:rPr>
      </w:pPr>
      <w:r>
        <w:rPr>
          <w:lang w:val="en-US"/>
        </w:rPr>
        <w:t>(2)</w:t>
      </w:r>
      <w:r>
        <w:rPr>
          <w:lang w:val="en-US"/>
        </w:rPr>
        <w:tab/>
        <w:t xml:space="preserve">It is intended that, if these </w:t>
      </w:r>
      <w:r>
        <w:t xml:space="preserve">Supplementary </w:t>
      </w:r>
      <w:r>
        <w:rPr>
          <w:lang w:val="en-US"/>
        </w:rPr>
        <w:t xml:space="preserve">Rules are adopted by the Supreme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Supreme </w:t>
      </w:r>
      <w:r w:rsidRPr="00EA7F49">
        <w:rPr>
          <w:lang w:val="en-US"/>
        </w:rPr>
        <w:t>Court</w:t>
      </w:r>
      <w:r>
        <w:rPr>
          <w:lang w:val="en-US"/>
        </w:rPr>
        <w:t>.</w:t>
      </w:r>
    </w:p>
    <w:p w:rsidR="000F6423" w:rsidRDefault="000F6423" w:rsidP="000F6423">
      <w:pPr>
        <w:pStyle w:val="Hangindent"/>
        <w:jc w:val="both"/>
        <w:rPr>
          <w:lang w:val="en-US"/>
        </w:rPr>
      </w:pPr>
      <w:r>
        <w:rPr>
          <w:lang w:val="en-US"/>
        </w:rPr>
        <w:t>(3)</w:t>
      </w:r>
      <w:r>
        <w:rPr>
          <w:lang w:val="en-US"/>
        </w:rPr>
        <w:tab/>
        <w:t xml:space="preserve">It is intended that, if these </w:t>
      </w:r>
      <w:r>
        <w:t xml:space="preserve">Supplementary </w:t>
      </w:r>
      <w:r>
        <w:rPr>
          <w:lang w:val="en-US"/>
        </w:rPr>
        <w:t xml:space="preserve">Rules are adopted by the District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District </w:t>
      </w:r>
      <w:r w:rsidRPr="00EA7F49">
        <w:rPr>
          <w:lang w:val="en-US"/>
        </w:rPr>
        <w:t>Court</w:t>
      </w:r>
      <w:r>
        <w:rPr>
          <w:lang w:val="en-US"/>
        </w:rPr>
        <w:t>.</w:t>
      </w:r>
    </w:p>
    <w:p w:rsidR="000F6423" w:rsidRPr="005D6B22" w:rsidRDefault="000F6423" w:rsidP="000F6423">
      <w:pPr>
        <w:pStyle w:val="Hangindent"/>
        <w:jc w:val="both"/>
        <w:rPr>
          <w:lang w:val="en-US"/>
        </w:rPr>
      </w:pPr>
      <w:r>
        <w:rPr>
          <w:lang w:val="en-US"/>
        </w:rPr>
        <w:t>(4)</w:t>
      </w:r>
      <w:r>
        <w:rPr>
          <w:lang w:val="en-US"/>
        </w:rPr>
        <w:tab/>
        <w:t>It is intended that, i</w:t>
      </w:r>
      <w:r w:rsidRPr="005D6B22">
        <w:rPr>
          <w:lang w:val="en-US"/>
        </w:rPr>
        <w:t xml:space="preserve">f a </w:t>
      </w:r>
      <w:r>
        <w:rPr>
          <w:lang w:val="en-US"/>
        </w:rPr>
        <w:t>proceeding</w:t>
      </w:r>
      <w:r w:rsidRPr="005D6B22">
        <w:rPr>
          <w:lang w:val="en-US"/>
        </w:rPr>
        <w:t xml:space="preserve"> in the Fast Track Stream is transferred to the Magistrates Court,</w:t>
      </w:r>
      <w:r>
        <w:rPr>
          <w:lang w:val="en-US"/>
        </w:rPr>
        <w:t xml:space="preserve"> these </w:t>
      </w:r>
      <w:r>
        <w:t xml:space="preserve">Supplementary </w:t>
      </w:r>
      <w:r>
        <w:rPr>
          <w:lang w:val="en-US"/>
        </w:rPr>
        <w:t>Rules except Chapter 3</w:t>
      </w:r>
      <w:r w:rsidRPr="005D6B22">
        <w:rPr>
          <w:lang w:val="en-US"/>
        </w:rPr>
        <w:t xml:space="preserve"> apply to </w:t>
      </w:r>
      <w:r>
        <w:rPr>
          <w:lang w:val="en-US"/>
        </w:rPr>
        <w:t>the</w:t>
      </w:r>
      <w:r w:rsidRPr="005D6B22">
        <w:rPr>
          <w:lang w:val="en-US"/>
        </w:rPr>
        <w:t xml:space="preserve"> proceeding</w:t>
      </w:r>
      <w:r>
        <w:rPr>
          <w:lang w:val="en-US"/>
        </w:rPr>
        <w:t xml:space="preserve"> </w:t>
      </w:r>
      <w:r w:rsidRPr="005D6B22">
        <w:rPr>
          <w:lang w:val="en-US"/>
        </w:rPr>
        <w:t xml:space="preserve">in the </w:t>
      </w:r>
      <w:r>
        <w:rPr>
          <w:lang w:val="en-US"/>
        </w:rPr>
        <w:t xml:space="preserve">Magistrates </w:t>
      </w:r>
      <w:r w:rsidRPr="005D6B22">
        <w:rPr>
          <w:lang w:val="en-US"/>
        </w:rPr>
        <w:t xml:space="preserve">Court if an order is made by </w:t>
      </w:r>
      <w:r>
        <w:rPr>
          <w:lang w:val="en-US"/>
        </w:rPr>
        <w:t>a</w:t>
      </w:r>
      <w:r w:rsidRPr="005D6B22">
        <w:rPr>
          <w:lang w:val="en-US"/>
        </w:rPr>
        <w:t xml:space="preserve"> </w:t>
      </w:r>
      <w:r>
        <w:rPr>
          <w:lang w:val="en-US"/>
        </w:rPr>
        <w:t>Magistrate</w:t>
      </w:r>
      <w:r w:rsidRPr="005D6B22">
        <w:rPr>
          <w:lang w:val="en-US"/>
        </w:rPr>
        <w:t xml:space="preserve"> that </w:t>
      </w:r>
      <w:r>
        <w:rPr>
          <w:lang w:val="en-US"/>
        </w:rPr>
        <w:t>the Fast Track</w:t>
      </w:r>
      <w:r>
        <w:t xml:space="preserve"> </w:t>
      </w:r>
      <w:r>
        <w:rPr>
          <w:lang w:val="en-US"/>
        </w:rPr>
        <w:t>Rules</w:t>
      </w:r>
      <w:r w:rsidRPr="005D6B22">
        <w:rPr>
          <w:lang w:val="en-US"/>
        </w:rPr>
        <w:t xml:space="preserve"> are to apply to that proceeding.</w:t>
      </w:r>
    </w:p>
    <w:p w:rsidR="000F6423" w:rsidRPr="005D6B22" w:rsidRDefault="000F6423" w:rsidP="000F6423">
      <w:pPr>
        <w:pStyle w:val="Hangindent"/>
        <w:jc w:val="both"/>
        <w:rPr>
          <w:lang w:val="en-US"/>
        </w:rPr>
      </w:pPr>
      <w:r>
        <w:rPr>
          <w:lang w:val="en-US"/>
        </w:rPr>
        <w:t>(5)</w:t>
      </w:r>
      <w:r>
        <w:rPr>
          <w:lang w:val="en-US"/>
        </w:rPr>
        <w:tab/>
        <w:t>It is intended that, i</w:t>
      </w:r>
      <w:r w:rsidRPr="005D6B22">
        <w:rPr>
          <w:lang w:val="en-US"/>
        </w:rPr>
        <w:t xml:space="preserve">f a </w:t>
      </w:r>
      <w:r>
        <w:rPr>
          <w:lang w:val="en-US"/>
        </w:rPr>
        <w:t>proceeding</w:t>
      </w:r>
      <w:r w:rsidRPr="005D6B22">
        <w:rPr>
          <w:lang w:val="en-US"/>
        </w:rPr>
        <w:t xml:space="preserve"> is </w:t>
      </w:r>
      <w:r>
        <w:rPr>
          <w:lang w:val="en-US"/>
        </w:rPr>
        <w:t xml:space="preserve">instituted in </w:t>
      </w:r>
      <w:r w:rsidRPr="005D6B22">
        <w:rPr>
          <w:lang w:val="en-US"/>
        </w:rPr>
        <w:t>the Magistrates Court</w:t>
      </w:r>
      <w:r>
        <w:rPr>
          <w:lang w:val="en-US"/>
        </w:rPr>
        <w:t xml:space="preserve"> and a Magistrate in his or her discretion considers that it is desirable and orders that the proceeding be governed by the Fast Track Rules and Fast Track Supplementary Rules</w:t>
      </w:r>
      <w:r w:rsidRPr="005D6B22">
        <w:rPr>
          <w:lang w:val="en-US"/>
        </w:rPr>
        <w:t>,</w:t>
      </w:r>
      <w:r>
        <w:rPr>
          <w:lang w:val="en-US"/>
        </w:rPr>
        <w:t xml:space="preserve"> these </w:t>
      </w:r>
      <w:r>
        <w:t xml:space="preserve">Supplementary </w:t>
      </w:r>
      <w:r>
        <w:rPr>
          <w:lang w:val="en-US"/>
        </w:rPr>
        <w:t>Rules, except Chapter 3,</w:t>
      </w:r>
      <w:r w:rsidRPr="005D6B22">
        <w:rPr>
          <w:lang w:val="en-US"/>
        </w:rPr>
        <w:t xml:space="preserve"> apply to </w:t>
      </w:r>
      <w:r>
        <w:rPr>
          <w:lang w:val="en-US"/>
        </w:rPr>
        <w:t>that</w:t>
      </w:r>
      <w:r w:rsidRPr="005D6B22">
        <w:rPr>
          <w:lang w:val="en-US"/>
        </w:rPr>
        <w:t xml:space="preserve"> proceeding in the </w:t>
      </w:r>
      <w:r>
        <w:rPr>
          <w:lang w:val="en-US"/>
        </w:rPr>
        <w:t xml:space="preserve">Magistrates </w:t>
      </w:r>
      <w:r w:rsidRPr="005D6B22">
        <w:rPr>
          <w:lang w:val="en-US"/>
        </w:rPr>
        <w:t>Court.</w:t>
      </w:r>
    </w:p>
    <w:p w:rsidR="000F6423" w:rsidRDefault="000F6423" w:rsidP="000F6423">
      <w:pPr>
        <w:pStyle w:val="Hangindent"/>
        <w:jc w:val="both"/>
        <w:rPr>
          <w:lang w:val="en-US"/>
        </w:rPr>
      </w:pPr>
      <w:r>
        <w:rPr>
          <w:lang w:val="en-US"/>
        </w:rPr>
        <w:t>(6)</w:t>
      </w:r>
      <w:r>
        <w:rPr>
          <w:lang w:val="en-US"/>
        </w:rPr>
        <w:tab/>
        <w:t xml:space="preserve">Unless the Court otherwise directs, these </w:t>
      </w:r>
      <w:r>
        <w:t xml:space="preserve">Supplementary </w:t>
      </w:r>
      <w:r>
        <w:rPr>
          <w:lang w:val="en-US"/>
        </w:rPr>
        <w:t>Rules do not apply to special proceedings.</w:t>
      </w:r>
    </w:p>
    <w:p w:rsidR="000F6423" w:rsidRDefault="000F6423" w:rsidP="000F6423">
      <w:pPr>
        <w:pStyle w:val="Hangindent"/>
        <w:jc w:val="both"/>
        <w:rPr>
          <w:lang w:val="en-US"/>
        </w:rPr>
      </w:pPr>
      <w:r>
        <w:rPr>
          <w:lang w:val="en-US"/>
        </w:rPr>
        <w:t>(7)</w:t>
      </w:r>
      <w:r>
        <w:rPr>
          <w:lang w:val="en-US"/>
        </w:rPr>
        <w:tab/>
        <w:t xml:space="preserve">Unless the Court otherwise directs, these </w:t>
      </w:r>
      <w:r>
        <w:t xml:space="preserve">Supplementary </w:t>
      </w:r>
      <w:r>
        <w:rPr>
          <w:lang w:val="en-US"/>
        </w:rPr>
        <w:t>Rules do not apply to proceedings instituted before 1 October 2014.</w:t>
      </w:r>
    </w:p>
    <w:p w:rsidR="000F6423" w:rsidRDefault="000F6423" w:rsidP="000F6423">
      <w:pPr>
        <w:pStyle w:val="Hangindent"/>
        <w:jc w:val="both"/>
        <w:rPr>
          <w:lang w:val="en-US"/>
        </w:rPr>
      </w:pPr>
      <w:r>
        <w:rPr>
          <w:lang w:val="en-US"/>
        </w:rPr>
        <w:t>(8)</w:t>
      </w:r>
      <w:r>
        <w:rPr>
          <w:lang w:val="en-US"/>
        </w:rPr>
        <w:tab/>
        <w:t xml:space="preserve">To the extent of any inconsistency between these </w:t>
      </w:r>
      <w:r>
        <w:t xml:space="preserve">Supplementary </w:t>
      </w:r>
      <w:r>
        <w:rPr>
          <w:lang w:val="en-US"/>
        </w:rPr>
        <w:t xml:space="preserve">Rules and the General Civil </w:t>
      </w:r>
      <w:r>
        <w:t xml:space="preserve">Supplementary </w:t>
      </w:r>
      <w:r>
        <w:rPr>
          <w:lang w:val="en-US"/>
        </w:rPr>
        <w:t xml:space="preserve">Rules, these </w:t>
      </w:r>
      <w:r>
        <w:t xml:space="preserve">Supplementary </w:t>
      </w:r>
      <w:r>
        <w:rPr>
          <w:lang w:val="en-US"/>
        </w:rPr>
        <w:t>Rules prevail insofar as they operate.</w:t>
      </w:r>
    </w:p>
    <w:p w:rsidR="000F6423" w:rsidRDefault="000F6423" w:rsidP="000F6423">
      <w:pPr>
        <w:pStyle w:val="Hangindent"/>
        <w:jc w:val="both"/>
        <w:rPr>
          <w:lang w:val="en-US"/>
        </w:rPr>
      </w:pPr>
      <w:r>
        <w:rPr>
          <w:lang w:val="en-US"/>
        </w:rPr>
        <w:t>(9)</w:t>
      </w:r>
      <w:r>
        <w:rPr>
          <w:lang w:val="en-US"/>
        </w:rPr>
        <w:tab/>
        <w:t>Unless the Court otherwise orders, if a proceeding is transferred from the Fast Track Stream to the Ordinary Stream or vice versa</w:t>
      </w:r>
      <w:r w:rsidRPr="00F33A19">
        <w:t>—</w:t>
      </w:r>
    </w:p>
    <w:p w:rsidR="000F6423" w:rsidRDefault="000F6423" w:rsidP="000F6423">
      <w:pPr>
        <w:pStyle w:val="Doublehangingindent"/>
        <w:jc w:val="both"/>
        <w:rPr>
          <w:lang w:val="en-US"/>
        </w:rPr>
      </w:pPr>
      <w:r>
        <w:rPr>
          <w:lang w:val="en-US"/>
        </w:rPr>
        <w:t>(a)</w:t>
      </w:r>
      <w:r>
        <w:rPr>
          <w:lang w:val="en-US"/>
        </w:rPr>
        <w:tab/>
        <w:t>the rules applicable to the proceeding at the time a formal offer of settlement is made govern the validity and meaning of that offer; and</w:t>
      </w:r>
    </w:p>
    <w:p w:rsidR="000F6423" w:rsidRDefault="000F6423" w:rsidP="000F6423">
      <w:pPr>
        <w:pStyle w:val="Doublehangingindent"/>
        <w:jc w:val="both"/>
        <w:rPr>
          <w:lang w:val="en-US"/>
        </w:rPr>
      </w:pPr>
      <w:r>
        <w:rPr>
          <w:lang w:val="en-US"/>
        </w:rPr>
        <w:t xml:space="preserve">(b) </w:t>
      </w:r>
      <w:r>
        <w:rPr>
          <w:lang w:val="en-US"/>
        </w:rPr>
        <w:tab/>
        <w:t xml:space="preserve">the rules applicable at the time of acceptance of a formal offer of settlement or at trial, as the case may be, govern the costs consequences of the making of a formal offer of settlement and of any acceptance or non-acceptance of it. </w:t>
      </w:r>
    </w:p>
    <w:p w:rsidR="000F6423" w:rsidRDefault="000F6423" w:rsidP="000F6423">
      <w:pPr>
        <w:pStyle w:val="Hangindent"/>
        <w:jc w:val="both"/>
        <w:rPr>
          <w:lang w:val="en-US"/>
        </w:rPr>
      </w:pPr>
      <w:r>
        <w:rPr>
          <w:lang w:val="en-US"/>
        </w:rPr>
        <w:t>(10)</w:t>
      </w:r>
      <w:r>
        <w:rPr>
          <w:lang w:val="en-US"/>
        </w:rPr>
        <w:tab/>
        <w:t xml:space="preserve">Subject to paragraphs (8) and (9), the General Civil </w:t>
      </w:r>
      <w:r>
        <w:t xml:space="preserve">Supplementary </w:t>
      </w:r>
      <w:r>
        <w:rPr>
          <w:lang w:val="en-US"/>
        </w:rPr>
        <w:t>Rules apply to proceedings in the Fast Track Stream.</w:t>
      </w:r>
    </w:p>
    <w:p w:rsidR="000F6423" w:rsidRDefault="000F6423" w:rsidP="000F6423">
      <w:pPr>
        <w:pStyle w:val="Chapter"/>
      </w:pPr>
      <w:bookmarkStart w:id="23" w:name="_Toc436145883"/>
      <w:r w:rsidRPr="0077582C">
        <w:t>Chapter 2</w:t>
      </w:r>
      <w:r>
        <w:t>—</w:t>
      </w:r>
      <w:r w:rsidRPr="0077582C">
        <w:t>Establishment of streams</w:t>
      </w:r>
      <w:bookmarkEnd w:id="23"/>
    </w:p>
    <w:p w:rsidR="000F6423" w:rsidRDefault="000F6423" w:rsidP="000F6423">
      <w:pPr>
        <w:pStyle w:val="Part"/>
        <w:jc w:val="both"/>
      </w:pPr>
      <w:bookmarkStart w:id="24" w:name="_Toc387147767"/>
      <w:bookmarkStart w:id="25" w:name="_Toc436145884"/>
      <w:r w:rsidRPr="007F2797">
        <w:t>Part 1</w:t>
      </w:r>
      <w:r>
        <w:t>—</w:t>
      </w:r>
      <w:r w:rsidRPr="007F2797">
        <w:t>Establishment of streams</w:t>
      </w:r>
      <w:bookmarkEnd w:id="24"/>
      <w:bookmarkEnd w:id="25"/>
    </w:p>
    <w:p w:rsidR="000F6423" w:rsidRDefault="000F6423" w:rsidP="000F6423">
      <w:pPr>
        <w:pStyle w:val="IndentedPara"/>
      </w:pPr>
      <w:r>
        <w:t>[</w:t>
      </w:r>
      <w:r w:rsidRPr="006F6444">
        <w:rPr>
          <w:i/>
        </w:rPr>
        <w:t xml:space="preserve">No </w:t>
      </w:r>
      <w:r>
        <w:rPr>
          <w:i/>
        </w:rPr>
        <w:t>supplementary rule</w:t>
      </w:r>
      <w:r>
        <w:t>]</w:t>
      </w:r>
    </w:p>
    <w:p w:rsidR="000F6423" w:rsidRPr="00E03953" w:rsidRDefault="000F6423" w:rsidP="000F6423">
      <w:pPr>
        <w:pStyle w:val="Part"/>
        <w:jc w:val="both"/>
      </w:pPr>
      <w:bookmarkStart w:id="26" w:name="_Toc387147770"/>
      <w:bookmarkStart w:id="27" w:name="_Toc436145885"/>
      <w:r>
        <w:t>Part 2—Entry into and designation of streams</w:t>
      </w:r>
      <w:bookmarkEnd w:id="26"/>
      <w:bookmarkEnd w:id="27"/>
    </w:p>
    <w:p w:rsidR="000F6423" w:rsidRDefault="000F6423" w:rsidP="000F6423">
      <w:pPr>
        <w:pStyle w:val="clausehead"/>
        <w:spacing w:after="240"/>
      </w:pPr>
      <w:bookmarkStart w:id="28" w:name="_Toc436145886"/>
      <w:r w:rsidRPr="00FD0537">
        <w:t>6</w:t>
      </w:r>
      <w:r w:rsidRPr="00CE430F">
        <w:t>—</w:t>
      </w:r>
      <w:r w:rsidRPr="00E03953">
        <w:t xml:space="preserve"> </w:t>
      </w:r>
      <w:r>
        <w:t>Entry of proceedings into appropriate stream</w:t>
      </w:r>
      <w:bookmarkEnd w:id="28"/>
    </w:p>
    <w:p w:rsidR="000F6423" w:rsidRPr="00970B4C" w:rsidRDefault="000F6423" w:rsidP="000F6423">
      <w:pPr>
        <w:pStyle w:val="Hangindent"/>
      </w:pPr>
      <w:r>
        <w:t>(1)</w:t>
      </w:r>
      <w:r>
        <w:tab/>
      </w:r>
      <w:r w:rsidRPr="00970B4C">
        <w:t>When—</w:t>
      </w:r>
    </w:p>
    <w:p w:rsidR="000F6423" w:rsidRDefault="000F6423" w:rsidP="000F6423">
      <w:pPr>
        <w:pStyle w:val="Hangindent"/>
        <w:numPr>
          <w:ilvl w:val="0"/>
          <w:numId w:val="2"/>
        </w:numPr>
        <w:tabs>
          <w:tab w:val="left" w:pos="1985"/>
        </w:tabs>
        <w:spacing w:after="240"/>
        <w:ind w:left="1985" w:hanging="567"/>
        <w:jc w:val="both"/>
        <w:rPr>
          <w:lang w:val="en-US"/>
        </w:rPr>
      </w:pPr>
      <w:r>
        <w:rPr>
          <w:lang w:val="en-US"/>
        </w:rPr>
        <w:t xml:space="preserve">a party files a notice of election into the Fast Track Stream under rule 10 of the Rules; or </w:t>
      </w:r>
    </w:p>
    <w:p w:rsidR="000F6423" w:rsidRDefault="000F6423" w:rsidP="000F6423">
      <w:pPr>
        <w:pStyle w:val="Hangindent"/>
        <w:numPr>
          <w:ilvl w:val="0"/>
          <w:numId w:val="2"/>
        </w:numPr>
        <w:tabs>
          <w:tab w:val="left" w:pos="1985"/>
        </w:tabs>
        <w:spacing w:after="240"/>
        <w:ind w:left="1985" w:hanging="567"/>
        <w:jc w:val="both"/>
        <w:rPr>
          <w:lang w:val="en-US"/>
        </w:rPr>
      </w:pPr>
      <w:r>
        <w:rPr>
          <w:lang w:val="en-US"/>
        </w:rPr>
        <w:t>the Court orders that a proceeding be transferred into the Fast Track Stream under rule 12 of the Rules; or</w:t>
      </w:r>
    </w:p>
    <w:p w:rsidR="000F6423" w:rsidRDefault="000F6423" w:rsidP="000F6423">
      <w:pPr>
        <w:pStyle w:val="Hangindent"/>
        <w:numPr>
          <w:ilvl w:val="0"/>
          <w:numId w:val="2"/>
        </w:numPr>
        <w:tabs>
          <w:tab w:val="left" w:pos="1985"/>
        </w:tabs>
        <w:spacing w:after="240"/>
        <w:ind w:left="1985" w:hanging="567"/>
        <w:jc w:val="both"/>
        <w:rPr>
          <w:lang w:val="en-US"/>
        </w:rPr>
      </w:pPr>
      <w:r>
        <w:rPr>
          <w:lang w:val="en-US"/>
        </w:rPr>
        <w:t>the Court orders that a proceeding be transferred out of the Fast Track Stream under rule 13 of the Rules;</w:t>
      </w:r>
    </w:p>
    <w:p w:rsidR="000F6423" w:rsidRPr="00E03953" w:rsidRDefault="000F6423" w:rsidP="000F6423">
      <w:pPr>
        <w:pStyle w:val="Hangindent"/>
        <w:tabs>
          <w:tab w:val="left" w:pos="1418"/>
        </w:tabs>
        <w:spacing w:after="240"/>
        <w:ind w:firstLine="0"/>
        <w:jc w:val="both"/>
        <w:rPr>
          <w:lang w:val="en-US"/>
        </w:rPr>
      </w:pPr>
      <w:r>
        <w:rPr>
          <w:lang w:val="en-US"/>
        </w:rPr>
        <w:t>the Registrar of the Court is to assign the proceedings accordingly.</w:t>
      </w:r>
    </w:p>
    <w:p w:rsidR="000F6423" w:rsidRPr="00893899" w:rsidRDefault="000F6423" w:rsidP="000F6423">
      <w:pPr>
        <w:pStyle w:val="Chapter"/>
      </w:pPr>
      <w:bookmarkStart w:id="29" w:name="_Toc436145887"/>
      <w:r w:rsidRPr="00893899">
        <w:t>Chapter 3</w:t>
      </w:r>
      <w:r>
        <w:t>—</w:t>
      </w:r>
      <w:r w:rsidRPr="00893899">
        <w:t>Entry into and transfer between streams</w:t>
      </w:r>
      <w:bookmarkEnd w:id="29"/>
    </w:p>
    <w:p w:rsidR="000F6423" w:rsidRPr="0077582C" w:rsidRDefault="000F6423" w:rsidP="000F6423">
      <w:pPr>
        <w:pStyle w:val="Part"/>
      </w:pPr>
      <w:bookmarkStart w:id="30" w:name="_Toc436145888"/>
      <w:r w:rsidRPr="0077582C">
        <w:t>Part 1</w:t>
      </w:r>
      <w:r w:rsidRPr="00CE430F">
        <w:t>—</w:t>
      </w:r>
      <w:r w:rsidRPr="0077582C">
        <w:t>Election into Fast Track Stream</w:t>
      </w:r>
      <w:bookmarkEnd w:id="30"/>
    </w:p>
    <w:p w:rsidR="000F6423" w:rsidRPr="00FD0537" w:rsidRDefault="000F6423" w:rsidP="000F6423">
      <w:pPr>
        <w:pStyle w:val="clausehead"/>
      </w:pPr>
      <w:bookmarkStart w:id="31" w:name="_Toc436145889"/>
      <w:r>
        <w:t>7</w:t>
      </w:r>
      <w:r w:rsidRPr="00CE430F">
        <w:t>—</w:t>
      </w:r>
      <w:r w:rsidRPr="00FD0537">
        <w:t>Election of party</w:t>
      </w:r>
      <w:bookmarkEnd w:id="31"/>
    </w:p>
    <w:p w:rsidR="000F6423" w:rsidRDefault="000F6423" w:rsidP="000F6423">
      <w:pPr>
        <w:pStyle w:val="IndentedPara"/>
      </w:pPr>
      <w:r>
        <w:t>The approved form of a notice of election into the Fast Track Stream under rule 10 of the Rules is FTS 1.</w:t>
      </w:r>
    </w:p>
    <w:p w:rsidR="000F6423" w:rsidRPr="0077582C" w:rsidRDefault="000F6423" w:rsidP="000F6423">
      <w:pPr>
        <w:pStyle w:val="Part"/>
      </w:pPr>
      <w:bookmarkStart w:id="32" w:name="_Toc436145890"/>
      <w:r w:rsidRPr="0077582C">
        <w:t xml:space="preserve">Part </w:t>
      </w:r>
      <w:r>
        <w:t>2—</w:t>
      </w:r>
      <w:r w:rsidRPr="0077582C">
        <w:t>Discretionary transfer between streams</w:t>
      </w:r>
      <w:bookmarkEnd w:id="32"/>
    </w:p>
    <w:p w:rsidR="000F6423" w:rsidRPr="00FD0537" w:rsidRDefault="000F6423" w:rsidP="000F6423">
      <w:pPr>
        <w:pStyle w:val="clausehead"/>
        <w:spacing w:after="240"/>
      </w:pPr>
      <w:bookmarkStart w:id="33" w:name="_Toc436145891"/>
      <w:r>
        <w:t>8—</w:t>
      </w:r>
      <w:r w:rsidRPr="00FD0537">
        <w:t>Criteria for discretionary transfer</w:t>
      </w:r>
      <w:bookmarkEnd w:id="33"/>
    </w:p>
    <w:p w:rsidR="000F6423" w:rsidRDefault="000F6423" w:rsidP="000F6423">
      <w:pPr>
        <w:pStyle w:val="Hangindent"/>
        <w:spacing w:after="240"/>
        <w:jc w:val="both"/>
      </w:pPr>
      <w:r>
        <w:t>(1)</w:t>
      </w:r>
      <w:r>
        <w:tab/>
        <w:t>When considering whether a proceeding is straight forward so as to be suitable to proceed in the Fast Track Stream, the following factors will typically be considered</w:t>
      </w:r>
      <w:r w:rsidRPr="00CE430F">
        <w:t>—</w:t>
      </w:r>
    </w:p>
    <w:p w:rsidR="000F6423" w:rsidRDefault="000F6423" w:rsidP="000F6423">
      <w:pPr>
        <w:pStyle w:val="Doublehangingindent"/>
        <w:jc w:val="both"/>
      </w:pPr>
      <w:r>
        <w:rPr>
          <w:color w:val="000000"/>
          <w:lang w:val="en-US"/>
        </w:rPr>
        <w:t>(a)</w:t>
      </w:r>
      <w:r>
        <w:rPr>
          <w:color w:val="000000"/>
          <w:lang w:val="en-US"/>
        </w:rPr>
        <w:tab/>
      </w:r>
      <w:r>
        <w:t>number of parties;</w:t>
      </w:r>
    </w:p>
    <w:p w:rsidR="000F6423" w:rsidRDefault="000F6423" w:rsidP="000F6423">
      <w:pPr>
        <w:pStyle w:val="Doublehangingindent"/>
        <w:jc w:val="both"/>
      </w:pPr>
      <w:r>
        <w:rPr>
          <w:color w:val="000000"/>
          <w:lang w:val="en-US"/>
        </w:rPr>
        <w:t>(b)</w:t>
      </w:r>
      <w:r>
        <w:rPr>
          <w:color w:val="000000"/>
          <w:lang w:val="en-US"/>
        </w:rPr>
        <w:tab/>
      </w:r>
      <w:r>
        <w:t>type of dispute and nature of cause of action;</w:t>
      </w:r>
    </w:p>
    <w:p w:rsidR="000F6423" w:rsidRDefault="000F6423" w:rsidP="000F6423">
      <w:pPr>
        <w:pStyle w:val="Doublehangingindent"/>
        <w:jc w:val="both"/>
      </w:pPr>
      <w:r>
        <w:rPr>
          <w:color w:val="000000"/>
          <w:lang w:val="en-US"/>
        </w:rPr>
        <w:t>(c)</w:t>
      </w:r>
      <w:r>
        <w:rPr>
          <w:color w:val="000000"/>
          <w:lang w:val="en-US"/>
        </w:rPr>
        <w:tab/>
      </w:r>
      <w:r>
        <w:t>complexity of the facts and/or law;</w:t>
      </w:r>
    </w:p>
    <w:p w:rsidR="000F6423" w:rsidRDefault="000F6423" w:rsidP="000F6423">
      <w:pPr>
        <w:pStyle w:val="Doublehangingindent"/>
        <w:jc w:val="both"/>
      </w:pPr>
      <w:r>
        <w:rPr>
          <w:color w:val="000000"/>
          <w:lang w:val="en-US"/>
        </w:rPr>
        <w:t>(d)</w:t>
      </w:r>
      <w:r>
        <w:rPr>
          <w:color w:val="000000"/>
          <w:lang w:val="en-US"/>
        </w:rPr>
        <w:tab/>
      </w:r>
      <w:r>
        <w:t>need for complex or controversial interlocutory steps;</w:t>
      </w:r>
    </w:p>
    <w:p w:rsidR="000F6423" w:rsidRDefault="000F6423" w:rsidP="000F6423">
      <w:pPr>
        <w:pStyle w:val="Doublehangingindent"/>
        <w:jc w:val="both"/>
      </w:pPr>
      <w:r>
        <w:rPr>
          <w:color w:val="000000"/>
          <w:lang w:val="en-US"/>
        </w:rPr>
        <w:t>(e)</w:t>
      </w:r>
      <w:r>
        <w:rPr>
          <w:color w:val="000000"/>
          <w:lang w:val="en-US"/>
        </w:rPr>
        <w:tab/>
      </w:r>
      <w:r>
        <w:t>whether expert evidence is likely to be adduced at trial, number of experts and complexity of expert evidence;</w:t>
      </w:r>
    </w:p>
    <w:p w:rsidR="000F6423" w:rsidRDefault="000F6423" w:rsidP="000F6423">
      <w:pPr>
        <w:pStyle w:val="Doublehangingindent"/>
        <w:jc w:val="both"/>
      </w:pPr>
      <w:r>
        <w:rPr>
          <w:color w:val="000000"/>
          <w:lang w:val="en-US"/>
        </w:rPr>
        <w:t>(f)</w:t>
      </w:r>
      <w:r>
        <w:rPr>
          <w:color w:val="000000"/>
          <w:lang w:val="en-US"/>
        </w:rPr>
        <w:tab/>
      </w:r>
      <w:r>
        <w:t>number of lay witnesses and complexity of lay evidence;</w:t>
      </w:r>
    </w:p>
    <w:p w:rsidR="000F6423" w:rsidRDefault="000F6423" w:rsidP="000F6423">
      <w:pPr>
        <w:pStyle w:val="Doublehangingindent"/>
        <w:jc w:val="both"/>
      </w:pPr>
      <w:r>
        <w:rPr>
          <w:color w:val="000000"/>
          <w:lang w:val="en-US"/>
        </w:rPr>
        <w:t>(g)</w:t>
      </w:r>
      <w:r>
        <w:rPr>
          <w:color w:val="000000"/>
          <w:lang w:val="en-US"/>
        </w:rPr>
        <w:tab/>
      </w:r>
      <w:r>
        <w:t>likely length of trial;</w:t>
      </w:r>
    </w:p>
    <w:p w:rsidR="000F6423" w:rsidRDefault="000F6423" w:rsidP="000F6423">
      <w:pPr>
        <w:pStyle w:val="Doublehangingindent"/>
        <w:jc w:val="both"/>
      </w:pPr>
      <w:r>
        <w:rPr>
          <w:color w:val="000000"/>
          <w:lang w:val="en-US"/>
        </w:rPr>
        <w:t>(h)</w:t>
      </w:r>
      <w:r>
        <w:rPr>
          <w:color w:val="000000"/>
          <w:lang w:val="en-US"/>
        </w:rPr>
        <w:tab/>
      </w:r>
      <w:r>
        <w:t>readiness of parties for trial;</w:t>
      </w:r>
    </w:p>
    <w:p w:rsidR="000F6423" w:rsidRDefault="000F6423" w:rsidP="000F6423">
      <w:pPr>
        <w:pStyle w:val="Doublehangingindent"/>
        <w:jc w:val="both"/>
      </w:pPr>
      <w:r>
        <w:rPr>
          <w:color w:val="000000"/>
          <w:lang w:val="en-US"/>
        </w:rPr>
        <w:t>(i)</w:t>
      </w:r>
      <w:r>
        <w:rPr>
          <w:color w:val="000000"/>
          <w:lang w:val="en-US"/>
        </w:rPr>
        <w:tab/>
      </w:r>
      <w:r>
        <w:t>compliance with applicable pre-action protocols;</w:t>
      </w:r>
    </w:p>
    <w:p w:rsidR="000F6423" w:rsidRDefault="000F6423" w:rsidP="000F6423">
      <w:pPr>
        <w:pStyle w:val="Doublehangingindent"/>
        <w:jc w:val="both"/>
      </w:pPr>
      <w:r>
        <w:rPr>
          <w:color w:val="000000"/>
          <w:lang w:val="en-US"/>
        </w:rPr>
        <w:t>(j)</w:t>
      </w:r>
      <w:r>
        <w:rPr>
          <w:color w:val="000000"/>
          <w:lang w:val="en-US"/>
        </w:rPr>
        <w:tab/>
        <w:t xml:space="preserve">any special reasons for expediency; </w:t>
      </w:r>
    </w:p>
    <w:p w:rsidR="000F6423" w:rsidRDefault="000F6423" w:rsidP="000F6423">
      <w:pPr>
        <w:pStyle w:val="Doublehangingindent"/>
        <w:jc w:val="both"/>
      </w:pPr>
      <w:r>
        <w:rPr>
          <w:color w:val="000000"/>
          <w:lang w:val="en-US"/>
        </w:rPr>
        <w:t>(k)</w:t>
      </w:r>
      <w:r>
        <w:rPr>
          <w:color w:val="000000"/>
          <w:lang w:val="en-US"/>
        </w:rPr>
        <w:tab/>
      </w:r>
      <w:r>
        <w:t>any other relevant consideration.</w:t>
      </w:r>
    </w:p>
    <w:p w:rsidR="000F6423" w:rsidRDefault="000F6423" w:rsidP="000F6423">
      <w:pPr>
        <w:pStyle w:val="Hangindent"/>
        <w:jc w:val="both"/>
      </w:pPr>
      <w:r>
        <w:t>(2)</w:t>
      </w:r>
      <w:r>
        <w:tab/>
        <w:t>When considering whether it will be unfair to a party for a matter to proceed in the Fast Track Stream, the following factors will typically be considered</w:t>
      </w:r>
      <w:r w:rsidRPr="00CE430F">
        <w:t>—</w:t>
      </w:r>
    </w:p>
    <w:p w:rsidR="000F6423" w:rsidRDefault="000F6423" w:rsidP="000F6423">
      <w:pPr>
        <w:pStyle w:val="Doublehangingindent"/>
        <w:jc w:val="both"/>
      </w:pPr>
      <w:r>
        <w:rPr>
          <w:color w:val="000000"/>
          <w:lang w:val="en-US"/>
        </w:rPr>
        <w:t>(a)</w:t>
      </w:r>
      <w:r>
        <w:rPr>
          <w:color w:val="000000"/>
          <w:lang w:val="en-US"/>
        </w:rPr>
        <w:tab/>
      </w:r>
      <w:r>
        <w:t>amount of the claim or claims;</w:t>
      </w:r>
    </w:p>
    <w:p w:rsidR="000F6423" w:rsidRDefault="000F6423" w:rsidP="000F6423">
      <w:pPr>
        <w:pStyle w:val="Doublehangingindent"/>
        <w:jc w:val="both"/>
      </w:pPr>
      <w:r>
        <w:rPr>
          <w:color w:val="000000"/>
          <w:lang w:val="en-US"/>
        </w:rPr>
        <w:t>(b)</w:t>
      </w:r>
      <w:r>
        <w:rPr>
          <w:color w:val="000000"/>
          <w:lang w:val="en-US"/>
        </w:rPr>
        <w:tab/>
      </w:r>
      <w:r>
        <w:t>readiness of parties for trial;</w:t>
      </w:r>
    </w:p>
    <w:p w:rsidR="000F6423" w:rsidRDefault="000F6423" w:rsidP="000F6423">
      <w:pPr>
        <w:pStyle w:val="Doublehangingindent"/>
        <w:jc w:val="both"/>
      </w:pPr>
      <w:r>
        <w:rPr>
          <w:color w:val="000000"/>
          <w:lang w:val="en-US"/>
        </w:rPr>
        <w:t>(c)</w:t>
      </w:r>
      <w:r>
        <w:rPr>
          <w:color w:val="000000"/>
          <w:lang w:val="en-US"/>
        </w:rPr>
        <w:tab/>
        <w:t>likely costs incurred and recoverable on success</w:t>
      </w:r>
      <w:r>
        <w:t>;</w:t>
      </w:r>
    </w:p>
    <w:p w:rsidR="000F6423" w:rsidRDefault="000F6423" w:rsidP="000F6423">
      <w:pPr>
        <w:pStyle w:val="Doublehangingindent"/>
        <w:jc w:val="both"/>
      </w:pPr>
      <w:r>
        <w:rPr>
          <w:color w:val="000000"/>
          <w:lang w:val="en-US"/>
        </w:rPr>
        <w:t>(d)</w:t>
      </w:r>
      <w:r>
        <w:rPr>
          <w:color w:val="000000"/>
          <w:lang w:val="en-US"/>
        </w:rPr>
        <w:tab/>
      </w:r>
      <w:r>
        <w:t>circumstances of the parties;</w:t>
      </w:r>
    </w:p>
    <w:p w:rsidR="000F6423" w:rsidRDefault="000F6423" w:rsidP="000F6423">
      <w:pPr>
        <w:pStyle w:val="Doublehangingindent"/>
        <w:jc w:val="both"/>
      </w:pPr>
      <w:r>
        <w:rPr>
          <w:color w:val="000000"/>
          <w:lang w:val="en-US"/>
        </w:rPr>
        <w:t>(e)</w:t>
      </w:r>
      <w:r>
        <w:rPr>
          <w:color w:val="000000"/>
          <w:lang w:val="en-US"/>
        </w:rPr>
        <w:tab/>
      </w:r>
      <w:r>
        <w:t>any other relevant consideration.</w:t>
      </w:r>
    </w:p>
    <w:p w:rsidR="000F6423" w:rsidRPr="0077582C" w:rsidRDefault="000F6423" w:rsidP="000F6423">
      <w:pPr>
        <w:pStyle w:val="Chapter"/>
      </w:pPr>
      <w:bookmarkStart w:id="34" w:name="_Toc436145892"/>
      <w:r w:rsidRPr="0077582C">
        <w:t>Chapter 4</w:t>
      </w:r>
      <w:r>
        <w:t>—</w:t>
      </w:r>
      <w:r w:rsidRPr="0077582C">
        <w:t>Elements of action at first instance</w:t>
      </w:r>
      <w:bookmarkEnd w:id="34"/>
    </w:p>
    <w:p w:rsidR="000F6423" w:rsidRDefault="000F6423" w:rsidP="000F6423">
      <w:pPr>
        <w:pStyle w:val="IndentedPara"/>
      </w:pPr>
      <w:r>
        <w:t>[</w:t>
      </w:r>
      <w:r w:rsidRPr="006F6444">
        <w:rPr>
          <w:i/>
        </w:rPr>
        <w:t xml:space="preserve">No </w:t>
      </w:r>
      <w:r>
        <w:rPr>
          <w:i/>
        </w:rPr>
        <w:t>supplementary rule</w:t>
      </w:r>
      <w:r>
        <w:t>]</w:t>
      </w:r>
    </w:p>
    <w:p w:rsidR="000F6423" w:rsidRPr="0077582C" w:rsidRDefault="000F6423" w:rsidP="000F6423">
      <w:pPr>
        <w:pStyle w:val="Chapter"/>
      </w:pPr>
      <w:bookmarkStart w:id="35" w:name="_Toc436145893"/>
      <w:r w:rsidRPr="0077582C">
        <w:t>Chapter 5</w:t>
      </w:r>
      <w:r>
        <w:t>—</w:t>
      </w:r>
      <w:r w:rsidRPr="0077582C">
        <w:t>Pre-trial procedures</w:t>
      </w:r>
      <w:bookmarkEnd w:id="35"/>
    </w:p>
    <w:p w:rsidR="000F6423" w:rsidRDefault="000F6423" w:rsidP="000F6423">
      <w:pPr>
        <w:pStyle w:val="Part"/>
        <w:ind w:left="0" w:right="-427" w:firstLine="0"/>
      </w:pPr>
      <w:bookmarkStart w:id="36" w:name="_Toc386701035"/>
      <w:bookmarkStart w:id="37" w:name="_Toc436145894"/>
      <w:r>
        <w:t>Part 1—Preliminary hearing</w:t>
      </w:r>
      <w:bookmarkEnd w:id="36"/>
      <w:bookmarkEnd w:id="37"/>
    </w:p>
    <w:p w:rsidR="000F6423" w:rsidRDefault="000F6423" w:rsidP="000F6423">
      <w:pPr>
        <w:pStyle w:val="clausehead"/>
        <w:spacing w:after="240"/>
      </w:pPr>
      <w:bookmarkStart w:id="38" w:name="_Toc436145895"/>
      <w:r>
        <w:t>9—Preliminary h</w:t>
      </w:r>
      <w:r w:rsidRPr="00FD0537">
        <w:t>earing</w:t>
      </w:r>
      <w:bookmarkEnd w:id="38"/>
    </w:p>
    <w:p w:rsidR="000F6423" w:rsidRDefault="000F6423" w:rsidP="000F6423">
      <w:pPr>
        <w:pStyle w:val="IndentedPara"/>
        <w:jc w:val="both"/>
      </w:pPr>
      <w:r>
        <w:t xml:space="preserve">A preliminary hearing in the District and Supreme Courts will be conducted by a Judge or a Master depending on the nature of the application and judicial availability. </w:t>
      </w:r>
    </w:p>
    <w:p w:rsidR="000F6423" w:rsidRPr="0077582C" w:rsidRDefault="000F6423" w:rsidP="000F6423">
      <w:pPr>
        <w:pStyle w:val="Part"/>
      </w:pPr>
      <w:bookmarkStart w:id="39" w:name="_Toc436145896"/>
      <w:r w:rsidRPr="0077582C">
        <w:t>Part 2</w:t>
      </w:r>
      <w:r>
        <w:t>—</w:t>
      </w:r>
      <w:r w:rsidRPr="0077582C">
        <w:t xml:space="preserve">Initial </w:t>
      </w:r>
      <w:r>
        <w:t>H</w:t>
      </w:r>
      <w:r w:rsidRPr="0077582C">
        <w:t>earing</w:t>
      </w:r>
      <w:bookmarkEnd w:id="39"/>
    </w:p>
    <w:p w:rsidR="000F6423" w:rsidRDefault="000F6423" w:rsidP="000F6423">
      <w:pPr>
        <w:pStyle w:val="clausehead"/>
        <w:spacing w:after="240"/>
      </w:pPr>
      <w:bookmarkStart w:id="40" w:name="_Toc436145897"/>
      <w:r>
        <w:t>10—</w:t>
      </w:r>
      <w:r w:rsidRPr="00FD0537">
        <w:t xml:space="preserve">Initial </w:t>
      </w:r>
      <w:r>
        <w:t>H</w:t>
      </w:r>
      <w:r w:rsidRPr="00FD0537">
        <w:t>earing</w:t>
      </w:r>
      <w:bookmarkEnd w:id="40"/>
    </w:p>
    <w:p w:rsidR="000F6423" w:rsidRDefault="000F6423" w:rsidP="000F6423">
      <w:pPr>
        <w:pStyle w:val="Hangindent"/>
        <w:jc w:val="both"/>
        <w:rPr>
          <w:lang w:val="en-US"/>
        </w:rPr>
      </w:pPr>
      <w:r>
        <w:rPr>
          <w:lang w:val="en-US"/>
        </w:rPr>
        <w:t>(1)</w:t>
      </w:r>
      <w:r>
        <w:rPr>
          <w:lang w:val="en-US"/>
        </w:rPr>
        <w:tab/>
        <w:t xml:space="preserve">As a general rule, the date fixed for the Initial Hearing will be approximately four weeks after a defence or affidavit in lieu of defence is filed or after the date on which the proceeding was transferred into the Fast Track Stream, whichever is later. In urgent cases, the Registrar will list the Initial Hearing to be heard earlier. </w:t>
      </w:r>
    </w:p>
    <w:p w:rsidR="000F6423" w:rsidRDefault="000F6423" w:rsidP="000F6423">
      <w:pPr>
        <w:pStyle w:val="Hangindent"/>
        <w:jc w:val="both"/>
      </w:pPr>
      <w:r>
        <w:t>(2)</w:t>
      </w:r>
      <w:r>
        <w:tab/>
        <w:t>An Initial Hearing in the District and Supreme Courts will generally be conducted by a Judge.</w:t>
      </w:r>
    </w:p>
    <w:p w:rsidR="000F6423" w:rsidRDefault="000F6423" w:rsidP="000F6423">
      <w:pPr>
        <w:pStyle w:val="Hangindent"/>
        <w:jc w:val="both"/>
        <w:rPr>
          <w:lang w:val="en-US"/>
        </w:rPr>
      </w:pPr>
      <w:r>
        <w:rPr>
          <w:lang w:val="en-US"/>
        </w:rPr>
        <w:t>(3)</w:t>
      </w:r>
      <w:r>
        <w:rPr>
          <w:lang w:val="en-US"/>
        </w:rPr>
        <w:tab/>
        <w:t>The Court expects that the solicitor with principal conduct of the proceeding or, if counsel is briefed in the proceeding, counsel will attend at the Initial Hearing.</w:t>
      </w:r>
    </w:p>
    <w:p w:rsidR="000F6423" w:rsidRDefault="000F6423" w:rsidP="000F6423">
      <w:pPr>
        <w:pStyle w:val="Hangindent"/>
        <w:jc w:val="both"/>
      </w:pPr>
      <w:r>
        <w:t>(4)</w:t>
      </w:r>
      <w:r>
        <w:tab/>
        <w:t>The matters to be considered at the Initial Hearing will typically include</w:t>
      </w:r>
      <w:r w:rsidRPr="00CE430F">
        <w:t>—</w:t>
      </w:r>
    </w:p>
    <w:p w:rsidR="000F6423" w:rsidRDefault="000F6423" w:rsidP="000F6423">
      <w:pPr>
        <w:pStyle w:val="Doublehangingindent"/>
        <w:jc w:val="both"/>
      </w:pPr>
      <w:r>
        <w:t>(a)</w:t>
      </w:r>
      <w:r>
        <w:tab/>
        <w:t>inquiring into the steps taken to explore the possibility of settlement and what steps should be taken to explore, or further explore, the possibility of settlement;</w:t>
      </w:r>
    </w:p>
    <w:p w:rsidR="000F6423" w:rsidRDefault="000F6423" w:rsidP="000F6423">
      <w:pPr>
        <w:pStyle w:val="Doublehangingindent"/>
        <w:jc w:val="both"/>
      </w:pPr>
      <w:r>
        <w:t>(b)</w:t>
      </w:r>
      <w:r>
        <w:tab/>
        <w:t>the desirability of the parties attending a mediation;</w:t>
      </w:r>
    </w:p>
    <w:p w:rsidR="000F6423" w:rsidRDefault="000F6423" w:rsidP="000F6423">
      <w:pPr>
        <w:pStyle w:val="Doublehangingindent"/>
        <w:jc w:val="both"/>
      </w:pPr>
      <w:r>
        <w:t>(c)</w:t>
      </w:r>
      <w:r>
        <w:tab/>
        <w:t>identifying the real issues in dispute;</w:t>
      </w:r>
    </w:p>
    <w:p w:rsidR="000F6423" w:rsidRDefault="000F6423" w:rsidP="000F6423">
      <w:pPr>
        <w:pStyle w:val="Doublehangingindent"/>
        <w:jc w:val="both"/>
      </w:pPr>
      <w:r>
        <w:t>(d)</w:t>
      </w:r>
      <w:r>
        <w:tab/>
        <w:t>determining whether there should be split trials (dividing liability from quantum, issue from issue or claim from counterclaim or third party claim);</w:t>
      </w:r>
    </w:p>
    <w:p w:rsidR="000F6423" w:rsidRDefault="000F6423" w:rsidP="000F6423">
      <w:pPr>
        <w:pStyle w:val="Doublehangingindent"/>
        <w:jc w:val="both"/>
      </w:pPr>
      <w:r>
        <w:t>(e)</w:t>
      </w:r>
      <w:r>
        <w:tab/>
        <w:t>reviewing the estimated trial length;</w:t>
      </w:r>
    </w:p>
    <w:p w:rsidR="000F6423" w:rsidRDefault="000F6423" w:rsidP="000F6423">
      <w:pPr>
        <w:pStyle w:val="Doublehangingindent"/>
        <w:jc w:val="both"/>
      </w:pPr>
      <w:r>
        <w:t>(f)</w:t>
      </w:r>
      <w:r>
        <w:tab/>
        <w:t>reviewing whether it is appropriate for the proceeding to remain in the Fast Track Stream and determining whether it should be transferred to a different stream;</w:t>
      </w:r>
    </w:p>
    <w:p w:rsidR="000F6423" w:rsidRDefault="000F6423" w:rsidP="000F6423">
      <w:pPr>
        <w:pStyle w:val="Doublehangingindent"/>
        <w:jc w:val="both"/>
      </w:pPr>
      <w:r>
        <w:t>(g)</w:t>
      </w:r>
      <w:r>
        <w:tab/>
        <w:t>reviewing whether it is appropriate that the proceeding remain in the Court and determining whether it should be transferred to a different court;</w:t>
      </w:r>
    </w:p>
    <w:p w:rsidR="000F6423" w:rsidRDefault="000F6423" w:rsidP="000F6423">
      <w:pPr>
        <w:pStyle w:val="Doublehangingindent"/>
        <w:jc w:val="both"/>
      </w:pPr>
      <w:r>
        <w:t>(h)</w:t>
      </w:r>
      <w:r>
        <w:tab/>
        <w:t>on the application of any party, determining whether the Low, Mid or High Fast Track Scale of costs is to apply to the proceeding;</w:t>
      </w:r>
    </w:p>
    <w:p w:rsidR="006D3C90" w:rsidRPr="006409B0" w:rsidRDefault="006D3C90" w:rsidP="006D3C90">
      <w:pPr>
        <w:tabs>
          <w:tab w:val="left" w:pos="0"/>
          <w:tab w:val="center" w:pos="397"/>
        </w:tabs>
        <w:spacing w:before="280"/>
        <w:rPr>
          <w:rFonts w:ascii="Arial" w:hAnsi="Arial" w:cs="Arial"/>
          <w:color w:val="808080"/>
          <w:sz w:val="18"/>
          <w:szCs w:val="26"/>
          <w:lang w:val="en-US"/>
        </w:rPr>
      </w:pPr>
      <w:r w:rsidRPr="006409B0">
        <w:rPr>
          <w:rFonts w:ascii="Arial" w:hAnsi="Arial" w:cs="Arial"/>
          <w:color w:val="808080"/>
          <w:sz w:val="18"/>
          <w:szCs w:val="26"/>
          <w:lang w:val="en-US"/>
        </w:rPr>
        <w:t>[</w:t>
      </w:r>
      <w:r>
        <w:rPr>
          <w:rFonts w:ascii="Arial" w:hAnsi="Arial" w:cs="Arial"/>
          <w:color w:val="808080"/>
          <w:sz w:val="18"/>
          <w:szCs w:val="26"/>
          <w:lang w:val="en-US"/>
        </w:rPr>
        <w:t>paragraph 10(4)(ha) inserted</w:t>
      </w:r>
      <w:r w:rsidRPr="006409B0">
        <w:rPr>
          <w:rFonts w:ascii="Arial" w:hAnsi="Arial" w:cs="Arial"/>
          <w:color w:val="808080"/>
          <w:sz w:val="18"/>
          <w:szCs w:val="26"/>
          <w:lang w:val="en-US"/>
        </w:rPr>
        <w:t xml:space="preserve"> by District Court Fast Track Supplementary Rules Adop</w:t>
      </w:r>
      <w:r>
        <w:rPr>
          <w:rFonts w:ascii="Arial" w:hAnsi="Arial" w:cs="Arial"/>
          <w:color w:val="808080"/>
          <w:sz w:val="18"/>
          <w:szCs w:val="26"/>
          <w:lang w:val="en-US"/>
        </w:rPr>
        <w:t>tion Rules 2014 (Amendment No. 2</w:t>
      </w:r>
      <w:r w:rsidRPr="006409B0">
        <w:rPr>
          <w:rFonts w:ascii="Arial" w:hAnsi="Arial" w:cs="Arial"/>
          <w:color w:val="808080"/>
          <w:sz w:val="18"/>
          <w:szCs w:val="26"/>
          <w:lang w:val="en-US"/>
        </w:rPr>
        <w:t>)]</w:t>
      </w:r>
    </w:p>
    <w:p w:rsidR="00FE68CF" w:rsidRPr="00FE68CF" w:rsidRDefault="00FE68CF" w:rsidP="00FE68CF">
      <w:pPr>
        <w:pStyle w:val="Doublehangingindent"/>
        <w:jc w:val="both"/>
      </w:pPr>
      <w:r w:rsidRPr="00FE68CF">
        <w:t>(ha)</w:t>
      </w:r>
      <w:r w:rsidRPr="00FE68CF">
        <w:tab/>
        <w:t xml:space="preserve">whether an order should be made under rule 31(4) that the costs of the action be determined in accordance with Parts 1 and 2 of Chapter 12 of the </w:t>
      </w:r>
      <w:r w:rsidRPr="00FE68CF">
        <w:rPr>
          <w:i/>
        </w:rPr>
        <w:t>Supreme Court Civil Rules 2006</w:t>
      </w:r>
      <w:r w:rsidRPr="00FE68CF">
        <w:t xml:space="preserve"> or of the </w:t>
      </w:r>
      <w:r w:rsidRPr="00FE68CF">
        <w:rPr>
          <w:i/>
        </w:rPr>
        <w:t>District Court Civil Rules 2006</w:t>
      </w:r>
      <w:r>
        <w:t xml:space="preserve"> (as applicable);</w:t>
      </w:r>
    </w:p>
    <w:p w:rsidR="000F6423" w:rsidRDefault="000F6423" w:rsidP="000F6423">
      <w:pPr>
        <w:pStyle w:val="Doublehangingindent"/>
        <w:jc w:val="both"/>
      </w:pPr>
      <w:r>
        <w:t>(i)</w:t>
      </w:r>
      <w:r>
        <w:tab/>
        <w:t>inquiring whether any potential trial Judge or Magistrate is disqualified;</w:t>
      </w:r>
    </w:p>
    <w:p w:rsidR="000F6423" w:rsidRDefault="000F6423" w:rsidP="000F6423">
      <w:pPr>
        <w:pStyle w:val="Doublehangingindent"/>
        <w:jc w:val="both"/>
      </w:pPr>
      <w:r>
        <w:t>(j)</w:t>
      </w:r>
      <w:r>
        <w:tab/>
        <w:t>making orders for discovery or disclosure of documents in addition to preliminary disclosure if and to the extent appropriate;</w:t>
      </w:r>
    </w:p>
    <w:p w:rsidR="000F6423" w:rsidRDefault="000F6423" w:rsidP="000F6423">
      <w:pPr>
        <w:pStyle w:val="Doublehangingindent"/>
        <w:jc w:val="both"/>
      </w:pPr>
      <w:r>
        <w:t>(k)</w:t>
      </w:r>
      <w:r>
        <w:tab/>
        <w:t>giving directions for written evidence (witness statements, affidavits or summaries) if and to the extent appropriate;</w:t>
      </w:r>
    </w:p>
    <w:p w:rsidR="000F6423" w:rsidRDefault="000F6423" w:rsidP="000F6423">
      <w:pPr>
        <w:pStyle w:val="Doublehangingindent"/>
        <w:jc w:val="both"/>
      </w:pPr>
      <w:r>
        <w:t>(l)</w:t>
      </w:r>
      <w:r>
        <w:tab/>
        <w:t>giving directions for expert reports where applicable;</w:t>
      </w:r>
    </w:p>
    <w:p w:rsidR="000F6423" w:rsidRDefault="000F6423" w:rsidP="000F6423">
      <w:pPr>
        <w:pStyle w:val="Doublehangingindent"/>
        <w:jc w:val="both"/>
      </w:pPr>
      <w:r>
        <w:t>(m)</w:t>
      </w:r>
      <w:r>
        <w:tab/>
        <w:t>if appropriate, making directions restricting expert evidence to be adduced by the parties and/or appointing a single independent expert at the parties’ expense;</w:t>
      </w:r>
    </w:p>
    <w:p w:rsidR="000F6423" w:rsidRDefault="000F6423" w:rsidP="000F6423">
      <w:pPr>
        <w:pStyle w:val="Doublehangingindent"/>
        <w:jc w:val="both"/>
      </w:pPr>
      <w:r>
        <w:t>(n)</w:t>
      </w:r>
      <w:r>
        <w:tab/>
        <w:t xml:space="preserve">hearing and determining any interlocutory application or other pre-trial matter; </w:t>
      </w:r>
    </w:p>
    <w:p w:rsidR="000F6423" w:rsidRDefault="000F6423" w:rsidP="000F6423">
      <w:pPr>
        <w:pStyle w:val="Doublehangingindent"/>
        <w:jc w:val="both"/>
      </w:pPr>
      <w:r>
        <w:t>(o)</w:t>
      </w:r>
      <w:r>
        <w:tab/>
        <w:t>fixing a date for hearing and determination of any interlocutory application or other pre-trial matter.</w:t>
      </w:r>
    </w:p>
    <w:p w:rsidR="000F6423" w:rsidRDefault="000F6423" w:rsidP="000F6423">
      <w:pPr>
        <w:pStyle w:val="Doublehangingindent"/>
        <w:jc w:val="both"/>
      </w:pPr>
      <w:r>
        <w:t>(p)</w:t>
      </w:r>
      <w:r>
        <w:tab/>
        <w:t>fixing the date for the Pre-Trial Hearing;</w:t>
      </w:r>
    </w:p>
    <w:p w:rsidR="000F6423" w:rsidRDefault="000F6423" w:rsidP="000F6423">
      <w:pPr>
        <w:pStyle w:val="Doublehangingindent"/>
        <w:jc w:val="both"/>
      </w:pPr>
      <w:r>
        <w:t>(q)</w:t>
      </w:r>
      <w:r>
        <w:tab/>
        <w:t>fixing the trial date or trial week, as the case may be (taking into account the time reasonably required for the parties to be ready for trial).</w:t>
      </w:r>
    </w:p>
    <w:p w:rsidR="000F6423" w:rsidRPr="004E47F0" w:rsidRDefault="000F6423" w:rsidP="000F6423">
      <w:pPr>
        <w:pStyle w:val="Hangindent"/>
        <w:jc w:val="both"/>
        <w:rPr>
          <w:lang w:val="en-US"/>
        </w:rPr>
      </w:pPr>
      <w:bookmarkStart w:id="41" w:name="_Toc387759810"/>
      <w:r w:rsidRPr="004E47F0">
        <w:rPr>
          <w:lang w:val="en-US"/>
        </w:rPr>
        <w:t>(5)</w:t>
      </w:r>
      <w:r w:rsidRPr="004E47F0">
        <w:rPr>
          <w:lang w:val="en-US"/>
        </w:rPr>
        <w:tab/>
        <w:t>If one party at the Initial Hearing seeks referral of the proceeding to mediation, it may be expected that ordinarily an order will be made requiring the parties to mediate.</w:t>
      </w:r>
      <w:bookmarkEnd w:id="41"/>
    </w:p>
    <w:p w:rsidR="000F6423" w:rsidRPr="00573DAE" w:rsidRDefault="000F6423" w:rsidP="000F6423">
      <w:pPr>
        <w:pStyle w:val="Part"/>
        <w:jc w:val="both"/>
        <w:rPr>
          <w:sz w:val="23"/>
          <w:szCs w:val="23"/>
        </w:rPr>
      </w:pPr>
      <w:bookmarkStart w:id="42" w:name="_Toc386701041"/>
      <w:bookmarkStart w:id="43" w:name="_Toc436145898"/>
      <w:r>
        <w:t>Part 3—Pre-Trial Hearing</w:t>
      </w:r>
      <w:bookmarkEnd w:id="42"/>
      <w:bookmarkEnd w:id="43"/>
    </w:p>
    <w:p w:rsidR="000F6423" w:rsidRPr="00FD0537" w:rsidRDefault="000F6423" w:rsidP="000F6423">
      <w:pPr>
        <w:pStyle w:val="clausehead"/>
        <w:spacing w:after="240"/>
      </w:pPr>
      <w:bookmarkStart w:id="44" w:name="_Toc436145899"/>
      <w:r>
        <w:t>11—Pre-T</w:t>
      </w:r>
      <w:r w:rsidRPr="00FD0537">
        <w:t xml:space="preserve">rial </w:t>
      </w:r>
      <w:r>
        <w:t>H</w:t>
      </w:r>
      <w:r w:rsidRPr="00FD0537">
        <w:t>earing</w:t>
      </w:r>
      <w:bookmarkEnd w:id="44"/>
    </w:p>
    <w:p w:rsidR="000F6423" w:rsidRDefault="000F6423" w:rsidP="000F6423">
      <w:pPr>
        <w:pStyle w:val="Hangindent"/>
        <w:spacing w:after="240"/>
        <w:jc w:val="both"/>
        <w:rPr>
          <w:lang w:val="en-US"/>
        </w:rPr>
      </w:pPr>
      <w:r>
        <w:rPr>
          <w:lang w:val="en-US"/>
        </w:rPr>
        <w:t>(1)</w:t>
      </w:r>
      <w:r>
        <w:rPr>
          <w:lang w:val="en-US"/>
        </w:rPr>
        <w:tab/>
        <w:t>As a general rule, the date fixed for the Pre-Trial Hearing will be approximately four weeks before the scheduled commencement of trial.</w:t>
      </w:r>
    </w:p>
    <w:p w:rsidR="000F6423" w:rsidRDefault="000F6423" w:rsidP="000F6423">
      <w:pPr>
        <w:pStyle w:val="Hangindent"/>
        <w:jc w:val="both"/>
        <w:rPr>
          <w:lang w:val="en-US"/>
        </w:rPr>
      </w:pPr>
      <w:r>
        <w:rPr>
          <w:lang w:val="en-US"/>
        </w:rPr>
        <w:t>(2)</w:t>
      </w:r>
      <w:r>
        <w:rPr>
          <w:lang w:val="en-US"/>
        </w:rPr>
        <w:tab/>
        <w:t>The Court expects that counsel (whether barrister or solicitor) who is to conduct the trial will attend at the Pre-Trial Hearing.</w:t>
      </w:r>
    </w:p>
    <w:p w:rsidR="000F6423" w:rsidRDefault="000F6423" w:rsidP="000F6423">
      <w:pPr>
        <w:pStyle w:val="IndentedPara"/>
        <w:ind w:left="1418" w:hanging="567"/>
        <w:jc w:val="both"/>
      </w:pPr>
      <w:r>
        <w:t>(3)</w:t>
      </w:r>
      <w:r>
        <w:tab/>
        <w:t>The matters to be considered at the Pre-Trial Hearing will typically include</w:t>
      </w:r>
      <w:r w:rsidRPr="00CE430F">
        <w:t>—</w:t>
      </w:r>
    </w:p>
    <w:p w:rsidR="000F6423" w:rsidRDefault="000F6423" w:rsidP="000F6423">
      <w:pPr>
        <w:pStyle w:val="Doublehangingindent"/>
        <w:jc w:val="both"/>
      </w:pPr>
      <w:r>
        <w:t>(a)</w:t>
      </w:r>
      <w:r>
        <w:tab/>
        <w:t>inquiring into the steps taken to explore the possibility of settlement and what steps, if any, should be taken to further explore the possibility of settlement;</w:t>
      </w:r>
    </w:p>
    <w:p w:rsidR="000F6423" w:rsidRDefault="000F6423" w:rsidP="000F6423">
      <w:pPr>
        <w:pStyle w:val="Doublehangingindent"/>
        <w:jc w:val="both"/>
      </w:pPr>
      <w:r>
        <w:t>(b)</w:t>
      </w:r>
      <w:r>
        <w:tab/>
        <w:t>reviewing whether the parties have complied with applicable timetables;</w:t>
      </w:r>
    </w:p>
    <w:p w:rsidR="000F6423" w:rsidRDefault="000F6423" w:rsidP="000F6423">
      <w:pPr>
        <w:pStyle w:val="Doublehangingindent"/>
        <w:jc w:val="both"/>
      </w:pPr>
      <w:r>
        <w:t>(c)</w:t>
      </w:r>
      <w:r>
        <w:tab/>
        <w:t>identifying the real issues in dispute;</w:t>
      </w:r>
    </w:p>
    <w:p w:rsidR="000F6423" w:rsidRDefault="000F6423" w:rsidP="000F6423">
      <w:pPr>
        <w:pStyle w:val="Doublehangingindent"/>
        <w:jc w:val="both"/>
      </w:pPr>
      <w:r>
        <w:t>(d)</w:t>
      </w:r>
      <w:r>
        <w:tab/>
        <w:t>confirming that the proceeding is ready for trial and the estimated trial length;</w:t>
      </w:r>
    </w:p>
    <w:p w:rsidR="000F6423" w:rsidRDefault="000F6423" w:rsidP="000F6423">
      <w:pPr>
        <w:pStyle w:val="Doublehangingindent"/>
        <w:jc w:val="both"/>
      </w:pPr>
      <w:r>
        <w:t>(e)</w:t>
      </w:r>
      <w:r>
        <w:tab/>
        <w:t xml:space="preserve">confirming that the proceeding should remain in the Fast Track Stream; </w:t>
      </w:r>
    </w:p>
    <w:p w:rsidR="000F6423" w:rsidRDefault="000F6423" w:rsidP="000F6423">
      <w:pPr>
        <w:pStyle w:val="Doublehangingindent"/>
        <w:jc w:val="both"/>
      </w:pPr>
      <w:r>
        <w:t>(f)</w:t>
      </w:r>
      <w:r>
        <w:tab/>
        <w:t>giving any pre-trial directions which may be required or appropriate.</w:t>
      </w:r>
    </w:p>
    <w:p w:rsidR="006409B0" w:rsidRPr="006409B0" w:rsidRDefault="006409B0" w:rsidP="006409B0">
      <w:pPr>
        <w:tabs>
          <w:tab w:val="left" w:pos="0"/>
          <w:tab w:val="center" w:pos="397"/>
        </w:tabs>
        <w:spacing w:before="280"/>
        <w:rPr>
          <w:rFonts w:ascii="Arial" w:hAnsi="Arial" w:cs="Arial"/>
          <w:color w:val="808080"/>
          <w:sz w:val="18"/>
          <w:szCs w:val="26"/>
          <w:lang w:val="en-US"/>
        </w:rPr>
      </w:pPr>
      <w:r w:rsidRPr="006409B0">
        <w:rPr>
          <w:rFonts w:ascii="Arial" w:hAnsi="Arial" w:cs="Arial"/>
          <w:color w:val="808080"/>
          <w:sz w:val="18"/>
          <w:szCs w:val="26"/>
          <w:lang w:val="en-US"/>
        </w:rPr>
        <w:t xml:space="preserve">[Chapter 6 deleted by </w:t>
      </w:r>
      <w:r>
        <w:rPr>
          <w:rFonts w:ascii="Arial" w:hAnsi="Arial" w:cs="Arial"/>
          <w:color w:val="808080"/>
          <w:sz w:val="18"/>
          <w:szCs w:val="26"/>
          <w:lang w:val="en-US"/>
        </w:rPr>
        <w:t>District</w:t>
      </w:r>
      <w:r w:rsidRPr="006409B0">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6409B0">
        <w:rPr>
          <w:rFonts w:ascii="Arial" w:hAnsi="Arial" w:cs="Arial"/>
          <w:color w:val="808080"/>
          <w:sz w:val="18"/>
          <w:szCs w:val="26"/>
          <w:lang w:val="en-US"/>
        </w:rPr>
        <w:t>)]</w:t>
      </w:r>
    </w:p>
    <w:p w:rsidR="000F6423" w:rsidRDefault="000F6423" w:rsidP="006409B0">
      <w:pPr>
        <w:pStyle w:val="Chapter"/>
        <w:spacing w:before="0"/>
      </w:pPr>
      <w:bookmarkStart w:id="45" w:name="_Toc436145900"/>
      <w:r w:rsidRPr="0077582C">
        <w:t>Chapter 6</w:t>
      </w:r>
      <w:r>
        <w:t>—</w:t>
      </w:r>
      <w:r w:rsidR="006409B0">
        <w:t>*************************************</w:t>
      </w:r>
      <w:bookmarkEnd w:id="45"/>
    </w:p>
    <w:p w:rsidR="006409B0" w:rsidRPr="006409B0" w:rsidRDefault="006409B0" w:rsidP="006409B0">
      <w:pPr>
        <w:tabs>
          <w:tab w:val="left" w:pos="0"/>
          <w:tab w:val="center" w:pos="397"/>
        </w:tabs>
        <w:spacing w:before="280"/>
        <w:rPr>
          <w:rFonts w:ascii="Arial" w:hAnsi="Arial" w:cs="Arial"/>
          <w:color w:val="808080"/>
          <w:sz w:val="18"/>
          <w:szCs w:val="26"/>
          <w:lang w:val="en-US"/>
        </w:rPr>
      </w:pPr>
      <w:r w:rsidRPr="006409B0">
        <w:rPr>
          <w:rFonts w:ascii="Arial" w:hAnsi="Arial" w:cs="Arial"/>
          <w:color w:val="808080"/>
          <w:sz w:val="18"/>
          <w:szCs w:val="26"/>
          <w:lang w:val="en-US"/>
        </w:rPr>
        <w:t>[</w:t>
      </w:r>
      <w:r>
        <w:rPr>
          <w:rFonts w:ascii="Arial" w:hAnsi="Arial" w:cs="Arial"/>
          <w:color w:val="808080"/>
          <w:sz w:val="18"/>
          <w:szCs w:val="26"/>
          <w:lang w:val="en-US"/>
        </w:rPr>
        <w:t>rule 12</w:t>
      </w:r>
      <w:r w:rsidRPr="006409B0">
        <w:rPr>
          <w:rFonts w:ascii="Arial" w:hAnsi="Arial" w:cs="Arial"/>
          <w:color w:val="808080"/>
          <w:sz w:val="18"/>
          <w:szCs w:val="26"/>
          <w:lang w:val="en-US"/>
        </w:rPr>
        <w:t xml:space="preserve"> deleted by District Court Fast Track Supplementary Rules Adoption Rules 2014 (Amendment No. 1)]</w:t>
      </w:r>
    </w:p>
    <w:p w:rsidR="000F6423" w:rsidRPr="00FD0537" w:rsidRDefault="000F6423" w:rsidP="006409B0">
      <w:pPr>
        <w:pStyle w:val="clausehead"/>
        <w:spacing w:before="0" w:after="240"/>
      </w:pPr>
      <w:bookmarkStart w:id="46" w:name="_Toc436145901"/>
      <w:r w:rsidRPr="00FD0537">
        <w:t>1</w:t>
      </w:r>
      <w:r>
        <w:t>2—</w:t>
      </w:r>
      <w:r w:rsidR="006409B0">
        <w:t>***********************************************************</w:t>
      </w:r>
      <w:bookmarkEnd w:id="46"/>
    </w:p>
    <w:p w:rsidR="006409B0" w:rsidRPr="006409B0" w:rsidRDefault="006409B0" w:rsidP="006409B0">
      <w:pPr>
        <w:tabs>
          <w:tab w:val="left" w:pos="0"/>
          <w:tab w:val="center" w:pos="397"/>
        </w:tabs>
        <w:spacing w:before="280"/>
        <w:rPr>
          <w:rFonts w:ascii="Arial" w:hAnsi="Arial" w:cs="Arial"/>
          <w:color w:val="808080"/>
          <w:sz w:val="18"/>
          <w:szCs w:val="26"/>
          <w:lang w:val="en-US"/>
        </w:rPr>
      </w:pPr>
      <w:r w:rsidRPr="006409B0">
        <w:rPr>
          <w:rFonts w:ascii="Arial" w:hAnsi="Arial" w:cs="Arial"/>
          <w:color w:val="808080"/>
          <w:sz w:val="18"/>
          <w:szCs w:val="26"/>
          <w:lang w:val="en-US"/>
        </w:rPr>
        <w:t>[</w:t>
      </w:r>
      <w:r>
        <w:rPr>
          <w:rFonts w:ascii="Arial" w:hAnsi="Arial" w:cs="Arial"/>
          <w:color w:val="808080"/>
          <w:sz w:val="18"/>
          <w:szCs w:val="26"/>
          <w:lang w:val="en-US"/>
        </w:rPr>
        <w:t>rule 13</w:t>
      </w:r>
      <w:r w:rsidRPr="006409B0">
        <w:rPr>
          <w:rFonts w:ascii="Arial" w:hAnsi="Arial" w:cs="Arial"/>
          <w:color w:val="808080"/>
          <w:sz w:val="18"/>
          <w:szCs w:val="26"/>
          <w:lang w:val="en-US"/>
        </w:rPr>
        <w:t xml:space="preserve"> deleted by District Court Fast Track Supplementary Rules Adoption Rules 2014 (Amendment No. 1)]</w:t>
      </w:r>
    </w:p>
    <w:p w:rsidR="000F6423" w:rsidRPr="00FD0537" w:rsidRDefault="000F6423" w:rsidP="006409B0">
      <w:pPr>
        <w:pStyle w:val="clausehead"/>
        <w:spacing w:before="0"/>
      </w:pPr>
      <w:bookmarkStart w:id="47" w:name="_Toc436145902"/>
      <w:r w:rsidRPr="00FD0537">
        <w:t>1</w:t>
      </w:r>
      <w:r>
        <w:t>3—</w:t>
      </w:r>
      <w:r w:rsidR="006409B0">
        <w:t>***********************************************************</w:t>
      </w:r>
      <w:bookmarkEnd w:id="47"/>
    </w:p>
    <w:p w:rsidR="000F6423" w:rsidRPr="00EA2843" w:rsidRDefault="000F6423" w:rsidP="000F6423">
      <w:pPr>
        <w:pStyle w:val="Chapter"/>
        <w:rPr>
          <w:kern w:val="32"/>
        </w:rPr>
      </w:pPr>
      <w:bookmarkStart w:id="48" w:name="_Toc436145903"/>
      <w:r w:rsidRPr="00EA2843">
        <w:rPr>
          <w:kern w:val="32"/>
        </w:rPr>
        <w:t>Chapter 7</w:t>
      </w:r>
      <w:r>
        <w:rPr>
          <w:kern w:val="32"/>
        </w:rPr>
        <w:t>—</w:t>
      </w:r>
      <w:r w:rsidRPr="00EA2843">
        <w:rPr>
          <w:kern w:val="32"/>
        </w:rPr>
        <w:t>Trial</w:t>
      </w:r>
      <w:bookmarkEnd w:id="48"/>
    </w:p>
    <w:p w:rsidR="000F6423" w:rsidRDefault="000F6423" w:rsidP="000F6423">
      <w:pPr>
        <w:pStyle w:val="clausehead"/>
        <w:spacing w:after="240"/>
      </w:pPr>
      <w:bookmarkStart w:id="49" w:name="_Toc383773328"/>
      <w:bookmarkStart w:id="50" w:name="_Toc383775111"/>
      <w:bookmarkStart w:id="51" w:name="_Toc436145904"/>
      <w:r>
        <w:t>14—Reasons for judgment</w:t>
      </w:r>
      <w:bookmarkEnd w:id="49"/>
      <w:bookmarkEnd w:id="50"/>
      <w:bookmarkEnd w:id="51"/>
    </w:p>
    <w:p w:rsidR="000F6423" w:rsidRDefault="000F6423" w:rsidP="000F6423">
      <w:pPr>
        <w:pStyle w:val="IndentedPara"/>
        <w:jc w:val="both"/>
      </w:pPr>
      <w:r>
        <w:t>Parties should expect that reasons for judgment will be concise and will ordinarily be confined to</w:t>
      </w:r>
      <w:r w:rsidRPr="00CE430F">
        <w:t>—</w:t>
      </w:r>
    </w:p>
    <w:p w:rsidR="000F6423" w:rsidRDefault="000F6423" w:rsidP="000F6423">
      <w:pPr>
        <w:pStyle w:val="Doublehangingindent"/>
        <w:jc w:val="both"/>
      </w:pPr>
      <w:r>
        <w:t>(a)</w:t>
      </w:r>
      <w:r>
        <w:tab/>
        <w:t xml:space="preserve">brief reference to significant background or uncontested matters; </w:t>
      </w:r>
    </w:p>
    <w:p w:rsidR="000F6423" w:rsidRDefault="000F6423" w:rsidP="000F6423">
      <w:pPr>
        <w:pStyle w:val="Doublehangingindent"/>
        <w:jc w:val="both"/>
      </w:pPr>
      <w:r>
        <w:t>(b)</w:t>
      </w:r>
      <w:r>
        <w:tab/>
        <w:t xml:space="preserve">credibility findings in respect of significant witnesses whose credit is challenged with brief reasons; </w:t>
      </w:r>
    </w:p>
    <w:p w:rsidR="000F6423" w:rsidRDefault="000F6423" w:rsidP="000F6423">
      <w:pPr>
        <w:pStyle w:val="Doublehangingindent"/>
        <w:jc w:val="both"/>
      </w:pPr>
      <w:r>
        <w:t>(c)</w:t>
      </w:r>
      <w:r>
        <w:tab/>
        <w:t>findings on contested issues of fact with brief reasons;</w:t>
      </w:r>
    </w:p>
    <w:p w:rsidR="000F6423" w:rsidRDefault="000F6423" w:rsidP="000F6423">
      <w:pPr>
        <w:pStyle w:val="Doublehangingindent"/>
        <w:jc w:val="both"/>
      </w:pPr>
      <w:r>
        <w:t>(d)</w:t>
      </w:r>
      <w:r>
        <w:tab/>
        <w:t>conclusions on contested issues of law; and</w:t>
      </w:r>
    </w:p>
    <w:p w:rsidR="000F6423" w:rsidRPr="008637E2" w:rsidRDefault="000F6423" w:rsidP="000F6423">
      <w:pPr>
        <w:pStyle w:val="Doublehangingindent"/>
        <w:jc w:val="both"/>
      </w:pPr>
      <w:r w:rsidRPr="008637E2">
        <w:t>(e)</w:t>
      </w:r>
      <w:r w:rsidRPr="008637E2">
        <w:tab/>
        <w:t>where relief is granted,</w:t>
      </w:r>
      <w:r>
        <w:t xml:space="preserve"> </w:t>
      </w:r>
      <w:r w:rsidRPr="008637E2">
        <w:t>the relief granted and brief reasons for it.</w:t>
      </w:r>
    </w:p>
    <w:p w:rsidR="000F6423" w:rsidRPr="0077582C" w:rsidRDefault="000F6423" w:rsidP="000F6423">
      <w:pPr>
        <w:pStyle w:val="Chapter"/>
      </w:pPr>
      <w:bookmarkStart w:id="52" w:name="_Toc436145905"/>
      <w:r w:rsidRPr="0077582C">
        <w:t>Chapter 8</w:t>
      </w:r>
      <w:r>
        <w:t>—</w:t>
      </w:r>
      <w:r w:rsidRPr="0077582C">
        <w:t>Costs</w:t>
      </w:r>
      <w:bookmarkEnd w:id="52"/>
    </w:p>
    <w:p w:rsidR="000F6423" w:rsidRPr="00EA2843" w:rsidRDefault="000F6423" w:rsidP="000F6423">
      <w:pPr>
        <w:pStyle w:val="Part"/>
      </w:pPr>
      <w:bookmarkStart w:id="53" w:name="_Toc436145906"/>
      <w:r>
        <w:t>Part 1—</w:t>
      </w:r>
      <w:r w:rsidRPr="00EA2843">
        <w:t>Court’s discretion as to costs</w:t>
      </w:r>
      <w:bookmarkEnd w:id="53"/>
    </w:p>
    <w:p w:rsidR="000F6423" w:rsidRPr="00FD0537" w:rsidRDefault="000F6423" w:rsidP="000F6423">
      <w:pPr>
        <w:pStyle w:val="clausehead"/>
      </w:pPr>
      <w:bookmarkStart w:id="54" w:name="_Toc436145907"/>
      <w:r w:rsidRPr="00FD0537">
        <w:t>1</w:t>
      </w:r>
      <w:r>
        <w:t>5—</w:t>
      </w:r>
      <w:r w:rsidRPr="00FD0537">
        <w:t xml:space="preserve">Relevant </w:t>
      </w:r>
      <w:r>
        <w:t>S</w:t>
      </w:r>
      <w:r w:rsidRPr="00FD0537">
        <w:t>tages</w:t>
      </w:r>
      <w:bookmarkEnd w:id="54"/>
    </w:p>
    <w:p w:rsidR="000F6423" w:rsidRDefault="000F6423" w:rsidP="000F6423">
      <w:pPr>
        <w:pStyle w:val="IndentedPara"/>
        <w:jc w:val="both"/>
      </w:pPr>
      <w:r>
        <w:t>The Relevant Stages of a proceeding for the purpose of costs are as follows</w:t>
      </w:r>
      <w:r w:rsidRPr="00CE430F">
        <w:t>—</w:t>
      </w:r>
    </w:p>
    <w:p w:rsidR="000F6423" w:rsidRDefault="000F6423" w:rsidP="000F6423">
      <w:pPr>
        <w:pStyle w:val="Doublehangingindent"/>
        <w:jc w:val="both"/>
      </w:pPr>
      <w:r>
        <w:t>(a)</w:t>
      </w:r>
      <w:r>
        <w:tab/>
        <w:t>stage 1 – from institution of action to and including Initial Hearing;</w:t>
      </w:r>
    </w:p>
    <w:p w:rsidR="000F6423" w:rsidRDefault="000F6423" w:rsidP="000F6423">
      <w:pPr>
        <w:pStyle w:val="Doublehangingindent"/>
        <w:jc w:val="both"/>
      </w:pPr>
      <w:r>
        <w:t>(b)</w:t>
      </w:r>
      <w:r>
        <w:tab/>
        <w:t>stage 2 – from completion of Initial Hearing to commencement of trial incorporating</w:t>
      </w:r>
      <w:r w:rsidRPr="00CE430F">
        <w:t>—</w:t>
      </w:r>
    </w:p>
    <w:p w:rsidR="000F6423" w:rsidRDefault="000F6423" w:rsidP="000F6423">
      <w:pPr>
        <w:pStyle w:val="Doublehangingindent"/>
        <w:jc w:val="both"/>
      </w:pPr>
      <w:r>
        <w:tab/>
        <w:t>(i)</w:t>
      </w:r>
      <w:r>
        <w:tab/>
        <w:t xml:space="preserve">stage 2A – from stage 1 to half way between Initial Hearing </w:t>
      </w:r>
      <w:r>
        <w:tab/>
      </w:r>
      <w:r>
        <w:tab/>
        <w:t>and Pre-Trial Hearing;</w:t>
      </w:r>
    </w:p>
    <w:p w:rsidR="000F6423" w:rsidRDefault="000F6423" w:rsidP="000F6423">
      <w:pPr>
        <w:pStyle w:val="Doublehangingindent"/>
        <w:jc w:val="both"/>
      </w:pPr>
      <w:r>
        <w:tab/>
        <w:t>(ii)</w:t>
      </w:r>
      <w:r>
        <w:tab/>
        <w:t>stage 2B – from stage 2A to and including Pre-Trial Hearing;</w:t>
      </w:r>
    </w:p>
    <w:p w:rsidR="000F6423" w:rsidRDefault="000F6423" w:rsidP="000F6423">
      <w:pPr>
        <w:pStyle w:val="Doublehangingindent"/>
        <w:jc w:val="both"/>
      </w:pPr>
      <w:r>
        <w:tab/>
        <w:t>(iii)</w:t>
      </w:r>
      <w:r>
        <w:tab/>
        <w:t>stage 2C – from stage 2B to commencement of trial;</w:t>
      </w:r>
    </w:p>
    <w:p w:rsidR="000F6423" w:rsidRDefault="000F6423" w:rsidP="000F6423">
      <w:pPr>
        <w:pStyle w:val="Doublehangingindent"/>
        <w:jc w:val="both"/>
      </w:pPr>
      <w:r>
        <w:t>(c)</w:t>
      </w:r>
      <w:r>
        <w:tab/>
        <w:t>stage 3 – trial and judgment incorporating</w:t>
      </w:r>
      <w:r w:rsidRPr="00CE430F">
        <w:t>—</w:t>
      </w:r>
    </w:p>
    <w:p w:rsidR="000F6423" w:rsidRDefault="000F6423" w:rsidP="000F6423">
      <w:pPr>
        <w:pStyle w:val="Doublehangingindent"/>
        <w:jc w:val="both"/>
      </w:pPr>
      <w:r>
        <w:t xml:space="preserve"> </w:t>
      </w:r>
      <w:r>
        <w:tab/>
        <w:t>(i)</w:t>
      </w:r>
      <w:r>
        <w:tab/>
        <w:t>stage 3A – first day of trial;</w:t>
      </w:r>
    </w:p>
    <w:p w:rsidR="000F6423" w:rsidRDefault="000F6423" w:rsidP="000F6423">
      <w:pPr>
        <w:pStyle w:val="Doublehangingindent"/>
        <w:jc w:val="both"/>
      </w:pPr>
      <w:r>
        <w:tab/>
        <w:t>(ii)</w:t>
      </w:r>
      <w:r>
        <w:tab/>
        <w:t>stage 3B – second day of trial;</w:t>
      </w:r>
    </w:p>
    <w:p w:rsidR="000F6423" w:rsidRDefault="000F6423" w:rsidP="000F6423">
      <w:pPr>
        <w:pStyle w:val="Doublehangingindent"/>
        <w:jc w:val="both"/>
      </w:pPr>
      <w:r>
        <w:tab/>
        <w:t>(iii)</w:t>
      </w:r>
      <w:r>
        <w:tab/>
        <w:t>stage 3C – third day of trial.</w:t>
      </w:r>
    </w:p>
    <w:p w:rsidR="000F6423" w:rsidRPr="00FD0537" w:rsidRDefault="000F6423" w:rsidP="000F6423">
      <w:pPr>
        <w:pStyle w:val="clausehead"/>
        <w:spacing w:after="240"/>
      </w:pPr>
      <w:bookmarkStart w:id="55" w:name="_Toc436145908"/>
      <w:r w:rsidRPr="00FD0537">
        <w:t>1</w:t>
      </w:r>
      <w:r>
        <w:t>6—Costs s</w:t>
      </w:r>
      <w:r w:rsidRPr="00FD0537">
        <w:t>cale</w:t>
      </w:r>
      <w:r>
        <w:t>s</w:t>
      </w:r>
      <w:bookmarkEnd w:id="55"/>
    </w:p>
    <w:p w:rsidR="000F6423" w:rsidRDefault="000F6423" w:rsidP="000F6423">
      <w:pPr>
        <w:pStyle w:val="Hangindent"/>
        <w:spacing w:after="240"/>
        <w:jc w:val="both"/>
      </w:pPr>
      <w:r>
        <w:t>(1)</w:t>
      </w:r>
      <w:r>
        <w:tab/>
        <w:t>The Fast Track Ordinary Scale is contained in table 1 of Schedule 1.</w:t>
      </w:r>
    </w:p>
    <w:p w:rsidR="000F6423" w:rsidRDefault="000F6423" w:rsidP="000F6423">
      <w:pPr>
        <w:pStyle w:val="Hangindent"/>
        <w:jc w:val="both"/>
      </w:pPr>
      <w:r>
        <w:t>(2)</w:t>
      </w:r>
      <w:r>
        <w:tab/>
        <w:t>The Fast Track Elevated Scale is contained in table 2 of Schedule 1.</w:t>
      </w:r>
    </w:p>
    <w:p w:rsidR="000F6423" w:rsidRPr="00EA2843" w:rsidRDefault="000F6423" w:rsidP="000F6423">
      <w:pPr>
        <w:pStyle w:val="Chapter"/>
      </w:pPr>
      <w:bookmarkStart w:id="56" w:name="_Toc436145909"/>
      <w:r w:rsidRPr="00EA2843">
        <w:t>Chapter 9</w:t>
      </w:r>
      <w:r>
        <w:t>—</w:t>
      </w:r>
      <w:r w:rsidRPr="00EA2843">
        <w:t>Appeals</w:t>
      </w:r>
      <w:bookmarkEnd w:id="56"/>
    </w:p>
    <w:p w:rsidR="000F6423" w:rsidRPr="00FD0537" w:rsidRDefault="000F6423" w:rsidP="000F6423">
      <w:pPr>
        <w:pStyle w:val="clausehead"/>
      </w:pPr>
      <w:bookmarkStart w:id="57" w:name="_Toc436145910"/>
      <w:r>
        <w:t>17—</w:t>
      </w:r>
      <w:r w:rsidRPr="00FD0537">
        <w:t>Fast Track Appeal Scale</w:t>
      </w:r>
      <w:bookmarkEnd w:id="57"/>
    </w:p>
    <w:p w:rsidR="000F6423" w:rsidRDefault="000F6423" w:rsidP="000F6423">
      <w:pPr>
        <w:pStyle w:val="IndentedPara"/>
        <w:jc w:val="both"/>
      </w:pPr>
      <w:r>
        <w:t>The Fast Track Appeal Scale is contained in table 3 of Schedule 1.</w:t>
      </w:r>
    </w:p>
    <w:p w:rsidR="000F6423" w:rsidRDefault="000F6423" w:rsidP="000F6423">
      <w:pPr>
        <w:pStyle w:val="Chapter"/>
        <w:jc w:val="center"/>
      </w:pPr>
      <w:r>
        <w:rPr>
          <w:sz w:val="23"/>
          <w:szCs w:val="23"/>
        </w:rPr>
        <w:br w:type="page"/>
      </w:r>
      <w:bookmarkStart w:id="58" w:name="_Toc436145911"/>
      <w:r>
        <w:t>Schedule 1 — Fast Track Scales of Costs</w:t>
      </w:r>
      <w:bookmarkEnd w:id="58"/>
    </w:p>
    <w:p w:rsidR="000F6423" w:rsidRDefault="000F6423" w:rsidP="000F6423">
      <w:pPr>
        <w:jc w:val="both"/>
      </w:pPr>
    </w:p>
    <w:p w:rsidR="000F6423" w:rsidRDefault="000F6423" w:rsidP="000F6423">
      <w:pPr>
        <w:pStyle w:val="Hangindent"/>
        <w:ind w:left="567"/>
        <w:jc w:val="both"/>
      </w:pPr>
      <w:r>
        <w:t>(1)</w:t>
      </w:r>
      <w:r>
        <w:tab/>
        <w:t>For the purposes of the cost scales in this Schedule</w:t>
      </w:r>
      <w:r w:rsidRPr="00CE430F">
        <w:t>—</w:t>
      </w:r>
    </w:p>
    <w:p w:rsidR="000F6423" w:rsidRDefault="000F6423" w:rsidP="000F6423">
      <w:pPr>
        <w:pStyle w:val="Doublehangingindent"/>
        <w:ind w:left="1701"/>
        <w:jc w:val="both"/>
      </w:pPr>
      <w:r>
        <w:t>(a)</w:t>
      </w:r>
      <w:r>
        <w:tab/>
        <w:t xml:space="preserve">when costs are awarded in favour of a successful plaintiff, cross claimant or  third party claimant, the </w:t>
      </w:r>
      <w:r w:rsidRPr="00991A1C">
        <w:rPr>
          <w:b/>
          <w:i/>
        </w:rPr>
        <w:t>quantum</w:t>
      </w:r>
      <w:r>
        <w:t xml:space="preserve"> of the claim is the total amount or value of the </w:t>
      </w:r>
      <w:r w:rsidRPr="00716A3F">
        <w:t>principal relief</w:t>
      </w:r>
      <w:r>
        <w:t xml:space="preserve"> granted in favour of the plaintiff or cross claimant or third party claimant;</w:t>
      </w:r>
    </w:p>
    <w:p w:rsidR="000F6423" w:rsidRDefault="000F6423" w:rsidP="000F6423">
      <w:pPr>
        <w:pStyle w:val="Doublehangingindent"/>
        <w:ind w:left="1701"/>
        <w:jc w:val="both"/>
      </w:pPr>
      <w:r>
        <w:t>(b)</w:t>
      </w:r>
      <w:r>
        <w:tab/>
        <w:t xml:space="preserve">when the defendant to a claim, cross action or third party action is successful, the </w:t>
      </w:r>
      <w:r w:rsidRPr="00991A1C">
        <w:rPr>
          <w:b/>
          <w:i/>
        </w:rPr>
        <w:t>quantum</w:t>
      </w:r>
      <w:r>
        <w:t xml:space="preserve"> of the claim, cross action or third party action is the total amount or value of the principal relief claimed against that defendant;</w:t>
      </w:r>
    </w:p>
    <w:p w:rsidR="000F6423" w:rsidRDefault="000F6423" w:rsidP="000F6423">
      <w:pPr>
        <w:pStyle w:val="Doublehangingindent"/>
        <w:ind w:left="1701"/>
        <w:jc w:val="both"/>
      </w:pPr>
      <w:r>
        <w:t>(c)</w:t>
      </w:r>
      <w:r>
        <w:tab/>
        <w:t xml:space="preserve">when there is both a claim by a successful party and an unsuccessful cross action against that party, the </w:t>
      </w:r>
      <w:r w:rsidRPr="00991A1C">
        <w:rPr>
          <w:b/>
          <w:i/>
        </w:rPr>
        <w:t>quantum</w:t>
      </w:r>
      <w:r>
        <w:t xml:space="preserve"> of the proceedings is the total of the amount referred to in (a) and the amount referred to in (b).</w:t>
      </w:r>
    </w:p>
    <w:p w:rsidR="000F6423" w:rsidRDefault="000F6423" w:rsidP="000F6423">
      <w:pPr>
        <w:pStyle w:val="Hangindent"/>
        <w:ind w:left="567"/>
        <w:jc w:val="both"/>
      </w:pPr>
      <w:r>
        <w:t>(2)</w:t>
      </w:r>
      <w:r>
        <w:tab/>
        <w:t xml:space="preserve">For the purposes of this Schedule, </w:t>
      </w:r>
      <w:r w:rsidRPr="00991A1C">
        <w:rPr>
          <w:b/>
          <w:i/>
        </w:rPr>
        <w:t>principal relief</w:t>
      </w:r>
      <w:r>
        <w:rPr>
          <w:b/>
        </w:rPr>
        <w:t xml:space="preserve"> </w:t>
      </w:r>
      <w:r>
        <w:t xml:space="preserve">means the principal relief awarded or claimed (as the case may be) disregarding interest since instituting the action, cross action or third party action (as the case may be) and disregarding costs. </w:t>
      </w:r>
    </w:p>
    <w:p w:rsidR="000F6423" w:rsidRDefault="000F6423" w:rsidP="000F6423">
      <w:pPr>
        <w:pStyle w:val="Hangindent"/>
        <w:ind w:left="567"/>
        <w:jc w:val="both"/>
      </w:pPr>
      <w:r>
        <w:t>(3)</w:t>
      </w:r>
      <w:r>
        <w:tab/>
        <w:t xml:space="preserve">For the purposes of this Schedule, </w:t>
      </w:r>
      <w:r w:rsidRPr="00991A1C">
        <w:rPr>
          <w:b/>
          <w:i/>
        </w:rPr>
        <w:t>professional costs</w:t>
      </w:r>
      <w:r>
        <w:rPr>
          <w:b/>
        </w:rPr>
        <w:t xml:space="preserve"> </w:t>
      </w:r>
      <w:r>
        <w:t xml:space="preserve">encompass costs on account of all professional fees charged by solicitors and counsel for work performed in connection with the proceedings together with all photocopying, communications and like charges. </w:t>
      </w:r>
    </w:p>
    <w:p w:rsidR="000F6423" w:rsidRDefault="000F6423" w:rsidP="000F6423">
      <w:pPr>
        <w:pStyle w:val="Hangindent"/>
        <w:ind w:left="567"/>
        <w:jc w:val="both"/>
      </w:pPr>
      <w:r>
        <w:t>(4)</w:t>
      </w:r>
      <w:r>
        <w:tab/>
        <w:t>When professional costs are recoverable in accordance with the Fast Track Scale of Costs, the successful party is also entitled to recover disbursements reasonably incurred in the proceeding, including court fees, witness fees and other external disbursements.  However, unless the trial Judge or Magistrate otherwise orders, a party cannot recover disbursements for more than one expert witness and cannot recover more than $3,000 for disbursements paid to an expert witness.</w:t>
      </w:r>
    </w:p>
    <w:p w:rsidR="000F6423" w:rsidRDefault="000F6423" w:rsidP="000F6423">
      <w:pPr>
        <w:pStyle w:val="Hangindent"/>
        <w:ind w:left="567"/>
        <w:jc w:val="both"/>
      </w:pPr>
      <w:r>
        <w:t>(5)</w:t>
      </w:r>
      <w:r>
        <w:tab/>
        <w:t>When</w:t>
      </w:r>
      <w:r w:rsidRPr="00CE430F">
        <w:t>—</w:t>
      </w:r>
    </w:p>
    <w:p w:rsidR="000F6423" w:rsidRDefault="000F6423" w:rsidP="000F6423">
      <w:pPr>
        <w:pStyle w:val="Doublehangingindent"/>
        <w:ind w:left="1701"/>
        <w:jc w:val="both"/>
      </w:pPr>
      <w:r>
        <w:t>(a)</w:t>
      </w:r>
      <w:r>
        <w:tab/>
        <w:t>a proceeding settles by acceptance of a formal offer of settlement under rule 26 of the Rules during stage 2 and it is necessary to determine the costs payable by one party to the other under the terms of settlement up to that stage of the proceedings; or</w:t>
      </w:r>
    </w:p>
    <w:p w:rsidR="000F6423" w:rsidRDefault="000F6423" w:rsidP="000F6423">
      <w:pPr>
        <w:pStyle w:val="Doublehangingindent"/>
        <w:ind w:left="1701"/>
        <w:jc w:val="both"/>
      </w:pPr>
      <w:r>
        <w:t>(b)</w:t>
      </w:r>
      <w:r>
        <w:tab/>
        <w:t>a proceeding does not settle due to the rejection of a formal offer of settlement filed during stage 2 and a party is entitled under rule 27 of the Rules to an order of the Court for costs on the Fast Track Ordinary Scale up to the stage reached 14 days after the formal offer of settlement was filed and to costs on the Fast Track Elevated Scale thereafter;</w:t>
      </w:r>
    </w:p>
    <w:p w:rsidR="000F6423" w:rsidRPr="00C67952" w:rsidRDefault="000F6423" w:rsidP="000F6423">
      <w:pPr>
        <w:pStyle w:val="Hangindent"/>
        <w:ind w:left="567" w:firstLine="0"/>
        <w:jc w:val="both"/>
      </w:pPr>
      <w:r w:rsidRPr="00C67952">
        <w:t xml:space="preserve">the costs payable under (a) and the costs payable on the </w:t>
      </w:r>
      <w:r>
        <w:t xml:space="preserve">Fast Track Ordinary Scale </w:t>
      </w:r>
      <w:r w:rsidRPr="00C67952">
        <w:t>under (b) are to be calculated according to whether the proceeding was in stage 2A</w:t>
      </w:r>
      <w:r>
        <w:t>,</w:t>
      </w:r>
      <w:r w:rsidRPr="00C67952">
        <w:t xml:space="preserve"> stage 2B or stage 2C at the </w:t>
      </w:r>
      <w:r>
        <w:t xml:space="preserve">relevant </w:t>
      </w:r>
      <w:r w:rsidRPr="00C67952">
        <w:t xml:space="preserve">time on the basis that one </w:t>
      </w:r>
      <w:r>
        <w:t xml:space="preserve">third of the costs in table 1 </w:t>
      </w:r>
      <w:r w:rsidRPr="00C67952">
        <w:t>is attributable to stage 2A, one third to stage 2B and one third to stage 2C.</w:t>
      </w:r>
    </w:p>
    <w:p w:rsidR="000F6423" w:rsidRDefault="000F6423" w:rsidP="000F6423">
      <w:pPr>
        <w:pStyle w:val="Hangindent"/>
        <w:ind w:left="1417" w:hanging="850"/>
        <w:jc w:val="both"/>
      </w:pPr>
      <w:r w:rsidRPr="00C67952">
        <w:rPr>
          <w:b/>
        </w:rPr>
        <w:t>Example</w:t>
      </w:r>
      <w:r w:rsidRPr="00CE430F">
        <w:t>—</w:t>
      </w:r>
    </w:p>
    <w:p w:rsidR="000F6423" w:rsidRPr="00C67952" w:rsidRDefault="000F6423" w:rsidP="000F6423">
      <w:pPr>
        <w:pStyle w:val="Hangindent"/>
        <w:ind w:left="1417" w:firstLine="0"/>
        <w:jc w:val="both"/>
      </w:pPr>
      <w:r>
        <w:t>I</w:t>
      </w:r>
      <w:r w:rsidRPr="00C67952">
        <w:t xml:space="preserve">f the case is the subject of the </w:t>
      </w:r>
      <w:r>
        <w:t xml:space="preserve">Fast Track </w:t>
      </w:r>
      <w:r w:rsidRPr="00C67952">
        <w:t xml:space="preserve">Ordinary Mid Scale and it settles part way through </w:t>
      </w:r>
      <w:r>
        <w:t>stage 2A by the acceptance of a</w:t>
      </w:r>
      <w:r w:rsidRPr="00C67952">
        <w:t xml:space="preserve"> formal offer made part way through stage 2A and the terms of the offer included that the offeror’s costs of action were payable for the period up to acceptance of the </w:t>
      </w:r>
      <w:r>
        <w:t>offer</w:t>
      </w:r>
      <w:r w:rsidRPr="00C67952">
        <w:t xml:space="preserve">, the offeror is entitled to costs </w:t>
      </w:r>
      <w:r>
        <w:t>in the “mid” column</w:t>
      </w:r>
      <w:r w:rsidRPr="00C67952">
        <w:t xml:space="preserve"> table </w:t>
      </w:r>
      <w:r>
        <w:t>1</w:t>
      </w:r>
      <w:r w:rsidRPr="00C67952">
        <w:t xml:space="preserve"> for stage 1 and one third of </w:t>
      </w:r>
      <w:r>
        <w:t xml:space="preserve">the figure in the “mid” column for </w:t>
      </w:r>
      <w:r w:rsidRPr="00C67952">
        <w:t>stage 2.</w:t>
      </w:r>
    </w:p>
    <w:p w:rsidR="000F6423" w:rsidRDefault="000F6423" w:rsidP="000F6423">
      <w:pPr>
        <w:pStyle w:val="Hangindent"/>
        <w:ind w:left="567"/>
        <w:jc w:val="both"/>
      </w:pPr>
      <w:r w:rsidRPr="00C67952">
        <w:t>(6)</w:t>
      </w:r>
      <w:r w:rsidRPr="00C67952">
        <w:tab/>
        <w:t>For the purpos</w:t>
      </w:r>
      <w:r>
        <w:t>es of table 3</w:t>
      </w:r>
      <w:r w:rsidRPr="00C67952">
        <w:t>, a proceeding w</w:t>
      </w:r>
      <w:r>
        <w:t>ill be classified on appeal as Low, Mid or H</w:t>
      </w:r>
      <w:r w:rsidRPr="00C67952">
        <w:t xml:space="preserve">igh according to its classification in the court at first instance. </w:t>
      </w:r>
    </w:p>
    <w:p w:rsidR="000F6423" w:rsidRPr="00C67952" w:rsidRDefault="000F6423" w:rsidP="000F6423">
      <w:pPr>
        <w:pStyle w:val="Hangindent"/>
        <w:ind w:left="567"/>
        <w:jc w:val="both"/>
      </w:pPr>
      <w:r>
        <w:t>(7)</w:t>
      </w:r>
      <w:r>
        <w:tab/>
        <w:t>If the quantum of the judgment or claim (as the case may be) is less than $63,000, the costs are calculated at the percentage of the quantum shown in table 1 or table 2 with the quantum rounded to the nearest $1,000.</w:t>
      </w:r>
    </w:p>
    <w:p w:rsidR="000F6423"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Cs w:val="28"/>
        </w:rPr>
      </w:pPr>
      <w:r w:rsidRPr="00C062C1">
        <w:rPr>
          <w:b/>
          <w:szCs w:val="28"/>
        </w:rPr>
        <w:t xml:space="preserve">Table 1 </w:t>
      </w:r>
      <w:r w:rsidRPr="00C062C1">
        <w:rPr>
          <w:b/>
          <w:szCs w:val="28"/>
        </w:rPr>
        <w:noBreakHyphen/>
        <w:t xml:space="preserve"> Fast Track Ordinary Scale (Professional Costs)</w:t>
      </w:r>
    </w:p>
    <w:p w:rsidR="000F6423" w:rsidRDefault="000F6423" w:rsidP="000F6423">
      <w:pPr>
        <w:tabs>
          <w:tab w:val="left" w:pos="426"/>
          <w:tab w:val="left" w:pos="993"/>
        </w:tabs>
        <w:jc w:val="center"/>
        <w:rPr>
          <w:b/>
          <w:szCs w:val="28"/>
        </w:rPr>
      </w:pPr>
    </w:p>
    <w:p w:rsidR="000F6423" w:rsidRPr="00C062C1" w:rsidRDefault="000F6423" w:rsidP="000F6423">
      <w:pPr>
        <w:tabs>
          <w:tab w:val="left" w:pos="426"/>
          <w:tab w:val="left" w:pos="993"/>
        </w:tabs>
        <w:jc w:val="center"/>
        <w:rPr>
          <w:b/>
          <w:szCs w:val="28"/>
        </w:rPr>
      </w:pPr>
      <w:r>
        <w:rPr>
          <w:b/>
          <w:szCs w:val="28"/>
        </w:rPr>
        <w:t>Quantum $63,000 or more</w:t>
      </w:r>
    </w:p>
    <w:p w:rsidR="000F6423" w:rsidRPr="00F62818" w:rsidRDefault="000F6423" w:rsidP="000F6423">
      <w:pPr>
        <w:tabs>
          <w:tab w:val="left" w:pos="426"/>
          <w:tab w:val="left" w:pos="993"/>
        </w:tabs>
        <w:rPr>
          <w:b/>
          <w:i/>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sidRPr="00DB5FFB">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sidRPr="00DB5FFB">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Low</w:t>
            </w: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Mid</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High</w:t>
            </w:r>
          </w:p>
        </w:tc>
      </w:tr>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Institution to Initial Hearing</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lang w:bidi="en-US"/>
              </w:rPr>
            </w:pPr>
            <w:r>
              <w:t>$4,500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$5,625</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$6,750</w:t>
            </w:r>
          </w:p>
        </w:tc>
      </w:tr>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2</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Up to commencement of trial</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lang w:bidi="en-US"/>
              </w:rPr>
            </w:pPr>
            <w:r>
              <w:t>$4,5</w:t>
            </w:r>
            <w:r w:rsidRPr="00DB5FFB">
              <w:t>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$5,625</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$6,750</w:t>
            </w:r>
          </w:p>
        </w:tc>
      </w:tr>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3A</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 xml:space="preserve">First day of trial </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lang w:bidi="en-US"/>
              </w:rPr>
            </w:pPr>
            <w:r w:rsidRPr="00DB5FFB">
              <w:t>$3,000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A65400">
              <w:t>$3,750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D658F7">
              <w:t>$4,500</w:t>
            </w:r>
          </w:p>
        </w:tc>
      </w:tr>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3B</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Second day of trial</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lang w:bidi="en-US"/>
              </w:rPr>
            </w:pPr>
            <w:r w:rsidRPr="00DB5FFB">
              <w:t>$3,000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A65400">
              <w:t>$3,750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D658F7">
              <w:t>$4,500</w:t>
            </w:r>
          </w:p>
        </w:tc>
      </w:tr>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3C</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lang w:bidi="en-US"/>
              </w:rPr>
            </w:pPr>
            <w:r w:rsidRPr="00DB5FFB">
              <w:t>Third day of trial</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lang w:bidi="en-US"/>
              </w:rPr>
            </w:pPr>
            <w:r w:rsidRPr="00DB5FFB">
              <w:t>$3,000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A65400">
              <w:t>$3,750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D658F7">
              <w:t>$4,500</w:t>
            </w:r>
          </w:p>
        </w:tc>
      </w:tr>
    </w:tbl>
    <w:p w:rsidR="000F6423" w:rsidRDefault="000F6423" w:rsidP="000F6423">
      <w:pPr>
        <w:tabs>
          <w:tab w:val="left" w:pos="426"/>
          <w:tab w:val="left" w:pos="993"/>
        </w:tabs>
        <w:jc w:val="center"/>
        <w:rPr>
          <w:sz w:val="28"/>
          <w:szCs w:val="28"/>
          <w:highlight w:val="yellow"/>
          <w:lang w:bidi="en-US"/>
        </w:rPr>
      </w:pPr>
    </w:p>
    <w:p w:rsidR="000F6423" w:rsidRDefault="000F6423" w:rsidP="000F6423">
      <w:pPr>
        <w:tabs>
          <w:tab w:val="left" w:pos="426"/>
          <w:tab w:val="left" w:pos="993"/>
        </w:tabs>
        <w:jc w:val="center"/>
        <w:rPr>
          <w:b/>
          <w:szCs w:val="28"/>
        </w:rPr>
      </w:pPr>
    </w:p>
    <w:p w:rsidR="000F6423" w:rsidRPr="00C062C1" w:rsidRDefault="000F6423" w:rsidP="000F6423">
      <w:pPr>
        <w:tabs>
          <w:tab w:val="left" w:pos="426"/>
          <w:tab w:val="left" w:pos="993"/>
        </w:tabs>
        <w:jc w:val="center"/>
        <w:rPr>
          <w:b/>
          <w:szCs w:val="28"/>
        </w:rPr>
      </w:pPr>
      <w:r>
        <w:rPr>
          <w:b/>
          <w:szCs w:val="28"/>
        </w:rPr>
        <w:t>Quantum less than $63,000*</w:t>
      </w:r>
    </w:p>
    <w:p w:rsidR="000F6423" w:rsidRDefault="000F6423" w:rsidP="000F6423">
      <w:pPr>
        <w:tabs>
          <w:tab w:val="left" w:pos="426"/>
          <w:tab w:val="left" w:pos="993"/>
        </w:tabs>
        <w:jc w:val="center"/>
        <w:rPr>
          <w:sz w:val="28"/>
          <w:szCs w:val="28"/>
          <w:highlight w:val="yellow"/>
          <w:lang w:bidi="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RPr="00DB5FFB"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Low</w:t>
            </w: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Mid</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High</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Institution to Initial Hearing</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7.2% of quantum</w:t>
            </w:r>
          </w:p>
        </w:tc>
        <w:tc>
          <w:tcPr>
            <w:tcW w:w="1560"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9%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10.8%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2</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Up to commencement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7.2</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162AF8">
              <w:t>9%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t>10.8</w:t>
            </w:r>
            <w:r w:rsidRPr="00162AF8">
              <w:t>%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3A</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 xml:space="preserve">First day of trial </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4.8</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6</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60716F">
              <w:t>7.2%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3B</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Second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4.8</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6</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60716F">
              <w:t>7.2%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3C</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Third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4.8</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6</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60716F">
              <w:t>7.2% of quantum</w:t>
            </w:r>
          </w:p>
        </w:tc>
      </w:tr>
    </w:tbl>
    <w:p w:rsidR="000F6423" w:rsidRDefault="000F6423" w:rsidP="000F6423">
      <w:pPr>
        <w:tabs>
          <w:tab w:val="left" w:pos="426"/>
          <w:tab w:val="left" w:pos="993"/>
        </w:tabs>
        <w:jc w:val="both"/>
        <w:rPr>
          <w:sz w:val="22"/>
        </w:rPr>
      </w:pPr>
    </w:p>
    <w:p w:rsidR="000F6423" w:rsidRDefault="000F6423" w:rsidP="000F6423">
      <w:pPr>
        <w:tabs>
          <w:tab w:val="left" w:pos="426"/>
          <w:tab w:val="left" w:pos="993"/>
        </w:tabs>
        <w:rPr>
          <w:b/>
          <w:sz w:val="28"/>
          <w:szCs w:val="28"/>
        </w:rPr>
      </w:pPr>
      <w:r w:rsidRPr="003662BB">
        <w:rPr>
          <w:szCs w:val="28"/>
        </w:rPr>
        <w:t xml:space="preserve">* </w:t>
      </w:r>
      <w:r w:rsidRPr="00246893">
        <w:t>Quantum</w:t>
      </w:r>
      <w:r w:rsidRPr="005B5EE7">
        <w:t xml:space="preserve"> </w:t>
      </w:r>
      <w:r>
        <w:rPr>
          <w:szCs w:val="28"/>
        </w:rPr>
        <w:t>rounded to nearest $1,000</w:t>
      </w:r>
      <w:r>
        <w:rPr>
          <w:b/>
          <w:sz w:val="28"/>
          <w:szCs w:val="28"/>
        </w:rPr>
        <w:t xml:space="preserve"> </w:t>
      </w:r>
    </w:p>
    <w:p w:rsidR="000F6423" w:rsidRDefault="000F6423" w:rsidP="000F6423">
      <w:pPr>
        <w:tabs>
          <w:tab w:val="left" w:pos="426"/>
          <w:tab w:val="left" w:pos="993"/>
        </w:tabs>
        <w:rPr>
          <w:b/>
          <w:sz w:val="28"/>
          <w:szCs w:val="28"/>
        </w:rPr>
      </w:pPr>
    </w:p>
    <w:p w:rsidR="000F6423" w:rsidRDefault="000F6423" w:rsidP="000F6423">
      <w:pPr>
        <w:tabs>
          <w:tab w:val="left" w:pos="426"/>
          <w:tab w:val="left" w:pos="993"/>
        </w:tabs>
        <w:rPr>
          <w:b/>
          <w:sz w:val="28"/>
          <w:szCs w:val="28"/>
        </w:rPr>
      </w:pPr>
    </w:p>
    <w:p w:rsidR="0073112A" w:rsidRDefault="0073112A">
      <w:pPr>
        <w:spacing w:after="200" w:line="276" w:lineRule="auto"/>
        <w:rPr>
          <w:b/>
          <w:sz w:val="28"/>
          <w:szCs w:val="28"/>
        </w:rPr>
      </w:pPr>
      <w:r>
        <w:rPr>
          <w:b/>
          <w:sz w:val="28"/>
          <w:szCs w:val="28"/>
        </w:rPr>
        <w:br w:type="page"/>
      </w:r>
    </w:p>
    <w:p w:rsidR="000F6423" w:rsidRDefault="000F6423" w:rsidP="000F6423">
      <w:pPr>
        <w:tabs>
          <w:tab w:val="left" w:pos="426"/>
          <w:tab w:val="left" w:pos="993"/>
        </w:tabs>
        <w:jc w:val="center"/>
        <w:rPr>
          <w:b/>
          <w:szCs w:val="28"/>
        </w:rPr>
      </w:pPr>
      <w:r>
        <w:rPr>
          <w:b/>
          <w:szCs w:val="28"/>
        </w:rPr>
        <w:t>Table 2</w:t>
      </w:r>
      <w:r w:rsidRPr="00127A04">
        <w:rPr>
          <w:b/>
          <w:szCs w:val="28"/>
        </w:rPr>
        <w:t xml:space="preserve"> </w:t>
      </w:r>
      <w:r w:rsidRPr="00127A04">
        <w:rPr>
          <w:b/>
          <w:szCs w:val="28"/>
        </w:rPr>
        <w:noBreakHyphen/>
        <w:t xml:space="preserve"> Fast Track Elevated Scale (Professional Costs)</w:t>
      </w:r>
    </w:p>
    <w:p w:rsidR="000F6423" w:rsidRDefault="000F6423" w:rsidP="000F6423">
      <w:pPr>
        <w:tabs>
          <w:tab w:val="left" w:pos="426"/>
          <w:tab w:val="left" w:pos="993"/>
        </w:tabs>
        <w:jc w:val="center"/>
        <w:rPr>
          <w:b/>
          <w:szCs w:val="28"/>
        </w:rPr>
      </w:pPr>
    </w:p>
    <w:p w:rsidR="000F6423" w:rsidRPr="00127A04" w:rsidRDefault="000F6423" w:rsidP="000F6423">
      <w:pPr>
        <w:tabs>
          <w:tab w:val="left" w:pos="426"/>
          <w:tab w:val="left" w:pos="993"/>
        </w:tabs>
        <w:jc w:val="center"/>
        <w:rPr>
          <w:b/>
          <w:szCs w:val="28"/>
        </w:rPr>
      </w:pPr>
      <w:r>
        <w:rPr>
          <w:b/>
          <w:szCs w:val="28"/>
        </w:rPr>
        <w:t>Quantum $63,000 or more</w:t>
      </w:r>
    </w:p>
    <w:p w:rsidR="000F6423" w:rsidRPr="00127A04"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Low</w:t>
            </w: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Mid</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High</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Institution to Initial Hearing</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$6,000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$7,500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$9,000</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2</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Up to commencement of trial</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$6,000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$7,500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$9,000</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3A</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 xml:space="preserve">First day of trial </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$4,000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C63CCA">
              <w:t>$5,000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2854BA">
              <w:t>$6,000</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3B</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Second day of trial</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$4,000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C63CCA">
              <w:t>$5,000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2854BA">
              <w:t>$6,000</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3C</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Third day of trial</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lang w:bidi="en-US"/>
              </w:rPr>
            </w:pPr>
            <w:r>
              <w:t>$4,000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rsidRPr="00C63CCA">
              <w:t>$5,000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2854BA">
              <w:t>$6,000</w:t>
            </w:r>
          </w:p>
        </w:tc>
      </w:tr>
    </w:tbl>
    <w:p w:rsidR="000F6423" w:rsidRDefault="000F6423" w:rsidP="000F6423">
      <w:pPr>
        <w:tabs>
          <w:tab w:val="left" w:pos="426"/>
          <w:tab w:val="left" w:pos="993"/>
        </w:tabs>
        <w:jc w:val="center"/>
        <w:rPr>
          <w:b/>
          <w:sz w:val="28"/>
          <w:szCs w:val="28"/>
          <w:lang w:bidi="en-US"/>
        </w:rPr>
      </w:pPr>
    </w:p>
    <w:p w:rsidR="000F6423" w:rsidRDefault="000F6423" w:rsidP="000F6423">
      <w:pPr>
        <w:tabs>
          <w:tab w:val="left" w:pos="426"/>
          <w:tab w:val="left" w:pos="993"/>
        </w:tabs>
        <w:jc w:val="center"/>
        <w:rPr>
          <w:b/>
          <w:szCs w:val="28"/>
        </w:rPr>
      </w:pPr>
    </w:p>
    <w:p w:rsidR="000F6423" w:rsidRPr="00127A04" w:rsidRDefault="000F6423" w:rsidP="000F6423">
      <w:pPr>
        <w:tabs>
          <w:tab w:val="left" w:pos="426"/>
          <w:tab w:val="left" w:pos="993"/>
        </w:tabs>
        <w:jc w:val="center"/>
        <w:rPr>
          <w:b/>
          <w:szCs w:val="28"/>
        </w:rPr>
      </w:pPr>
      <w:r>
        <w:rPr>
          <w:b/>
          <w:szCs w:val="28"/>
        </w:rPr>
        <w:t>Quantum less than $63,000*</w:t>
      </w:r>
    </w:p>
    <w:p w:rsidR="000F6423" w:rsidRDefault="000F6423" w:rsidP="000F6423">
      <w:pPr>
        <w:tabs>
          <w:tab w:val="left" w:pos="426"/>
          <w:tab w:val="left" w:pos="993"/>
        </w:tabs>
        <w:jc w:val="center"/>
        <w:rPr>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lang w:bidi="en-US"/>
              </w:rPr>
            </w:pPr>
            <w:r>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b/>
              </w:rPr>
            </w:pPr>
            <w:r>
              <w:rPr>
                <w:b/>
              </w:rPr>
              <w:t>Low</w:t>
            </w:r>
          </w:p>
          <w:p w:rsidR="000F6423" w:rsidRDefault="000F6423" w:rsidP="00980BD2">
            <w:pPr>
              <w:tabs>
                <w:tab w:val="left" w:pos="426"/>
                <w:tab w:val="left" w:pos="993"/>
              </w:tabs>
              <w:rPr>
                <w:b/>
                <w:lang w:bidi="en-US"/>
              </w:rPr>
            </w:pP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 xml:space="preserve">Mid </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980BD2">
            <w:pPr>
              <w:tabs>
                <w:tab w:val="left" w:pos="426"/>
                <w:tab w:val="left" w:pos="993"/>
              </w:tabs>
              <w:rPr>
                <w:b/>
                <w:lang w:bidi="en-US"/>
              </w:rPr>
            </w:pPr>
            <w:r>
              <w:rPr>
                <w:b/>
              </w:rPr>
              <w:t xml:space="preserve">High </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Institution to Initial Hearing</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9.6% of quantum</w:t>
            </w:r>
          </w:p>
        </w:tc>
        <w:tc>
          <w:tcPr>
            <w:tcW w:w="1560"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12%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t>14.4</w:t>
            </w:r>
            <w:r w:rsidRPr="00B0639D">
              <w:t>%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2</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Up to commencement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9.6</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12</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t>14.4</w:t>
            </w:r>
            <w:r w:rsidRPr="00B0639D">
              <w:t>%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3A</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 xml:space="preserve">First day of trial </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6.4</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8</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525C69">
              <w:t>9.6%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3B</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Second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6.4</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8</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525C69">
              <w:t>9.6% of quantum</w:t>
            </w:r>
          </w:p>
        </w:tc>
      </w:tr>
      <w:tr w:rsidR="000F6423" w:rsidTr="00980BD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3C</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980BD2">
            <w:pPr>
              <w:tabs>
                <w:tab w:val="left" w:pos="426"/>
                <w:tab w:val="left" w:pos="993"/>
              </w:tabs>
              <w:rPr>
                <w:lang w:bidi="en-US"/>
              </w:rPr>
            </w:pPr>
            <w:r>
              <w:t>Third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980BD2">
            <w:r>
              <w:t>6.4</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980BD2">
            <w:r>
              <w:t>8</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980BD2">
            <w:r w:rsidRPr="00525C69">
              <w:t>9.6% of quantum</w:t>
            </w:r>
          </w:p>
        </w:tc>
      </w:tr>
    </w:tbl>
    <w:p w:rsidR="000F6423" w:rsidRDefault="000F6423" w:rsidP="000F6423">
      <w:pPr>
        <w:tabs>
          <w:tab w:val="left" w:pos="426"/>
          <w:tab w:val="left" w:pos="993"/>
        </w:tabs>
        <w:jc w:val="center"/>
        <w:rPr>
          <w:b/>
          <w:sz w:val="28"/>
          <w:szCs w:val="28"/>
          <w:lang w:bidi="en-US"/>
        </w:rPr>
      </w:pPr>
    </w:p>
    <w:p w:rsidR="000F6423" w:rsidRDefault="000F6423" w:rsidP="000F6423">
      <w:pPr>
        <w:tabs>
          <w:tab w:val="left" w:pos="426"/>
          <w:tab w:val="left" w:pos="993"/>
        </w:tabs>
        <w:rPr>
          <w:b/>
          <w:sz w:val="28"/>
          <w:szCs w:val="28"/>
        </w:rPr>
      </w:pPr>
      <w:r w:rsidRPr="003662BB">
        <w:rPr>
          <w:szCs w:val="28"/>
        </w:rPr>
        <w:t xml:space="preserve">* </w:t>
      </w:r>
      <w:r w:rsidRPr="00246893">
        <w:t>Quantum</w:t>
      </w:r>
      <w:r w:rsidRPr="005B5EE7">
        <w:t xml:space="preserve"> </w:t>
      </w:r>
      <w:r>
        <w:rPr>
          <w:szCs w:val="28"/>
        </w:rPr>
        <w:t>rounded to nearest $1,000</w:t>
      </w:r>
      <w:r>
        <w:rPr>
          <w:b/>
          <w:sz w:val="28"/>
          <w:szCs w:val="28"/>
        </w:rPr>
        <w:t xml:space="preserve"> </w:t>
      </w:r>
    </w:p>
    <w:p w:rsidR="000F6423"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Cs w:val="28"/>
        </w:rPr>
      </w:pPr>
    </w:p>
    <w:p w:rsidR="000F6423" w:rsidRPr="00CF3332" w:rsidRDefault="000F6423" w:rsidP="000F6423">
      <w:pPr>
        <w:tabs>
          <w:tab w:val="left" w:pos="426"/>
          <w:tab w:val="left" w:pos="993"/>
        </w:tabs>
        <w:jc w:val="center"/>
        <w:rPr>
          <w:b/>
          <w:szCs w:val="28"/>
        </w:rPr>
      </w:pPr>
      <w:r>
        <w:rPr>
          <w:b/>
          <w:szCs w:val="28"/>
        </w:rPr>
        <w:t>Table 3</w:t>
      </w:r>
      <w:r w:rsidRPr="00CF3332">
        <w:rPr>
          <w:b/>
          <w:szCs w:val="28"/>
        </w:rPr>
        <w:t xml:space="preserve"> – Fast Track Appeal Scale </w:t>
      </w:r>
      <w:r>
        <w:rPr>
          <w:b/>
          <w:szCs w:val="28"/>
        </w:rPr>
        <w:t>(</w:t>
      </w:r>
      <w:r w:rsidRPr="00CF3332">
        <w:rPr>
          <w:b/>
          <w:szCs w:val="28"/>
        </w:rPr>
        <w:t>Professional Costs</w:t>
      </w:r>
      <w:r>
        <w:rPr>
          <w:b/>
          <w:szCs w:val="28"/>
        </w:rPr>
        <w:t>)</w:t>
      </w:r>
    </w:p>
    <w:p w:rsidR="000F6423" w:rsidRDefault="000F6423" w:rsidP="000F6423">
      <w:pPr>
        <w:tabs>
          <w:tab w:val="left" w:pos="426"/>
          <w:tab w:val="left" w:pos="993"/>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983"/>
        <w:gridCol w:w="1594"/>
        <w:gridCol w:w="1594"/>
      </w:tblGrid>
      <w:tr w:rsidR="000F6423" w:rsidTr="00980BD2">
        <w:tc>
          <w:tcPr>
            <w:tcW w:w="354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pPr>
          </w:p>
        </w:tc>
        <w:tc>
          <w:tcPr>
            <w:tcW w:w="1983"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b/>
              </w:rPr>
            </w:pPr>
            <w:r>
              <w:rPr>
                <w:b/>
              </w:rPr>
              <w:t>Low</w:t>
            </w:r>
          </w:p>
          <w:p w:rsidR="000F6423" w:rsidRDefault="000F6423" w:rsidP="00980BD2">
            <w:pPr>
              <w:tabs>
                <w:tab w:val="left" w:pos="426"/>
                <w:tab w:val="left" w:pos="993"/>
              </w:tabs>
              <w:rPr>
                <w:b/>
                <w:lang w:bidi="en-US"/>
              </w:rPr>
            </w:pPr>
          </w:p>
        </w:tc>
        <w:tc>
          <w:tcPr>
            <w:tcW w:w="1594"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b/>
                <w:lang w:bidi="en-US"/>
              </w:rPr>
            </w:pPr>
            <w:r>
              <w:rPr>
                <w:b/>
              </w:rPr>
              <w:t xml:space="preserve">Mid </w:t>
            </w:r>
          </w:p>
        </w:tc>
        <w:tc>
          <w:tcPr>
            <w:tcW w:w="1594" w:type="dxa"/>
            <w:tcBorders>
              <w:top w:val="single" w:sz="4" w:space="0" w:color="auto"/>
              <w:left w:val="single" w:sz="4" w:space="0" w:color="auto"/>
              <w:bottom w:val="single" w:sz="4" w:space="0" w:color="auto"/>
              <w:right w:val="single" w:sz="4" w:space="0" w:color="auto"/>
            </w:tcBorders>
          </w:tcPr>
          <w:p w:rsidR="000F6423" w:rsidRPr="00DB5FFB" w:rsidRDefault="000F6423" w:rsidP="00980BD2">
            <w:pPr>
              <w:tabs>
                <w:tab w:val="left" w:pos="426"/>
                <w:tab w:val="left" w:pos="993"/>
              </w:tabs>
              <w:rPr>
                <w:b/>
                <w:lang w:bidi="en-US"/>
              </w:rPr>
            </w:pPr>
            <w:r>
              <w:rPr>
                <w:b/>
              </w:rPr>
              <w:t xml:space="preserve">High </w:t>
            </w:r>
          </w:p>
        </w:tc>
      </w:tr>
      <w:tr w:rsidR="000F6423" w:rsidTr="00980BD2">
        <w:tc>
          <w:tcPr>
            <w:tcW w:w="354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rFonts w:eastAsia="Arial"/>
                <w:lang w:bidi="en-US"/>
              </w:rPr>
            </w:pPr>
            <w:r>
              <w:t xml:space="preserve">Appeal against an interlocutory judgment </w:t>
            </w:r>
          </w:p>
          <w:p w:rsidR="000F6423" w:rsidRDefault="000F6423" w:rsidP="00980BD2">
            <w:pPr>
              <w:tabs>
                <w:tab w:val="left" w:pos="426"/>
                <w:tab w:val="left" w:pos="993"/>
              </w:tabs>
              <w:rPr>
                <w:b/>
                <w:sz w:val="28"/>
                <w:szCs w:val="28"/>
                <w:lang w:bidi="en-US"/>
              </w:rPr>
            </w:pPr>
          </w:p>
        </w:tc>
        <w:tc>
          <w:tcPr>
            <w:tcW w:w="1983" w:type="dxa"/>
            <w:tcBorders>
              <w:top w:val="single" w:sz="4" w:space="0" w:color="auto"/>
              <w:left w:val="single" w:sz="4" w:space="0" w:color="auto"/>
              <w:bottom w:val="single" w:sz="4" w:space="0" w:color="auto"/>
              <w:right w:val="single" w:sz="4" w:space="0" w:color="auto"/>
            </w:tcBorders>
            <w:hideMark/>
          </w:tcPr>
          <w:p w:rsidR="000F6423" w:rsidRPr="00246893" w:rsidRDefault="000F6423" w:rsidP="00980BD2">
            <w:pPr>
              <w:tabs>
                <w:tab w:val="left" w:pos="426"/>
                <w:tab w:val="left" w:pos="993"/>
              </w:tabs>
              <w:rPr>
                <w:lang w:bidi="en-US"/>
              </w:rPr>
            </w:pPr>
            <w:r w:rsidRPr="00246893">
              <w:t>$1,500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980BD2">
            <w:pPr>
              <w:tabs>
                <w:tab w:val="left" w:pos="426"/>
                <w:tab w:val="left" w:pos="993"/>
              </w:tabs>
            </w:pPr>
            <w:r w:rsidRPr="00246893">
              <w:t>$1,500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980BD2">
            <w:pPr>
              <w:tabs>
                <w:tab w:val="left" w:pos="426"/>
                <w:tab w:val="left" w:pos="993"/>
              </w:tabs>
            </w:pPr>
            <w:r w:rsidRPr="00246893">
              <w:t>$1,500</w:t>
            </w:r>
          </w:p>
        </w:tc>
      </w:tr>
      <w:tr w:rsidR="000F6423" w:rsidTr="00980BD2">
        <w:tc>
          <w:tcPr>
            <w:tcW w:w="3549" w:type="dxa"/>
            <w:tcBorders>
              <w:top w:val="single" w:sz="4" w:space="0" w:color="auto"/>
              <w:left w:val="single" w:sz="4" w:space="0" w:color="auto"/>
              <w:bottom w:val="single" w:sz="4" w:space="0" w:color="auto"/>
              <w:right w:val="single" w:sz="4" w:space="0" w:color="auto"/>
            </w:tcBorders>
          </w:tcPr>
          <w:p w:rsidR="000F6423" w:rsidRDefault="000F6423" w:rsidP="00980BD2">
            <w:pPr>
              <w:tabs>
                <w:tab w:val="left" w:pos="426"/>
                <w:tab w:val="left" w:pos="993"/>
              </w:tabs>
              <w:rPr>
                <w:rFonts w:eastAsia="Arial"/>
                <w:lang w:bidi="en-US"/>
              </w:rPr>
            </w:pPr>
            <w:r>
              <w:t>Appeal against a final judgment</w:t>
            </w:r>
          </w:p>
          <w:p w:rsidR="000F6423" w:rsidRDefault="000F6423" w:rsidP="00980BD2">
            <w:pPr>
              <w:tabs>
                <w:tab w:val="left" w:pos="426"/>
                <w:tab w:val="left" w:pos="993"/>
              </w:tabs>
              <w:rPr>
                <w:b/>
                <w:sz w:val="28"/>
                <w:szCs w:val="28"/>
                <w:lang w:bidi="en-US"/>
              </w:rPr>
            </w:pPr>
          </w:p>
        </w:tc>
        <w:tc>
          <w:tcPr>
            <w:tcW w:w="1983" w:type="dxa"/>
            <w:tcBorders>
              <w:top w:val="single" w:sz="4" w:space="0" w:color="auto"/>
              <w:left w:val="single" w:sz="4" w:space="0" w:color="auto"/>
              <w:bottom w:val="single" w:sz="4" w:space="0" w:color="auto"/>
              <w:right w:val="single" w:sz="4" w:space="0" w:color="auto"/>
            </w:tcBorders>
            <w:hideMark/>
          </w:tcPr>
          <w:p w:rsidR="000F6423" w:rsidRPr="00246893" w:rsidRDefault="000F6423" w:rsidP="00980BD2">
            <w:pPr>
              <w:tabs>
                <w:tab w:val="left" w:pos="426"/>
                <w:tab w:val="left" w:pos="993"/>
              </w:tabs>
              <w:rPr>
                <w:lang w:bidi="en-US"/>
              </w:rPr>
            </w:pPr>
            <w:r w:rsidRPr="00246893">
              <w:t>$4,000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980BD2">
            <w:pPr>
              <w:tabs>
                <w:tab w:val="left" w:pos="426"/>
                <w:tab w:val="left" w:pos="993"/>
              </w:tabs>
            </w:pPr>
            <w:r w:rsidRPr="00246893">
              <w:t>$5,000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980BD2">
            <w:pPr>
              <w:tabs>
                <w:tab w:val="left" w:pos="426"/>
                <w:tab w:val="left" w:pos="993"/>
              </w:tabs>
            </w:pPr>
            <w:r w:rsidRPr="00246893">
              <w:t>$6,000</w:t>
            </w:r>
          </w:p>
        </w:tc>
      </w:tr>
    </w:tbl>
    <w:p w:rsidR="000F6423" w:rsidRDefault="000F6423" w:rsidP="000F6423">
      <w:pPr>
        <w:tabs>
          <w:tab w:val="left" w:pos="426"/>
          <w:tab w:val="left" w:pos="993"/>
        </w:tabs>
        <w:jc w:val="both"/>
        <w:rPr>
          <w:b/>
          <w:sz w:val="28"/>
          <w:szCs w:val="28"/>
          <w:lang w:bidi="en-US"/>
        </w:rPr>
      </w:pPr>
    </w:p>
    <w:p w:rsidR="000F6423" w:rsidRDefault="000F6423" w:rsidP="000F6423">
      <w:pPr>
        <w:tabs>
          <w:tab w:val="left" w:pos="426"/>
          <w:tab w:val="left" w:pos="993"/>
        </w:tabs>
        <w:jc w:val="both"/>
        <w:rPr>
          <w:b/>
          <w:sz w:val="28"/>
          <w:szCs w:val="28"/>
          <w:lang w:bidi="en-US"/>
        </w:rPr>
      </w:pPr>
      <w:r>
        <w:rPr>
          <w:b/>
          <w:sz w:val="28"/>
          <w:szCs w:val="28"/>
          <w:lang w:bidi="en-US"/>
        </w:rPr>
        <w:br w:type="page"/>
      </w:r>
    </w:p>
    <w:p w:rsidR="000F6423" w:rsidRPr="00F51338" w:rsidRDefault="000F6423" w:rsidP="000F6423">
      <w:pPr>
        <w:pStyle w:val="Chapter"/>
        <w:jc w:val="center"/>
        <w:rPr>
          <w:sz w:val="32"/>
          <w:szCs w:val="32"/>
        </w:rPr>
      </w:pPr>
      <w:bookmarkStart w:id="59" w:name="_Toc436145912"/>
      <w:r>
        <w:rPr>
          <w:sz w:val="32"/>
          <w:szCs w:val="32"/>
        </w:rPr>
        <w:t>Schedule 2</w:t>
      </w:r>
      <w:r w:rsidRPr="00F51338">
        <w:rPr>
          <w:sz w:val="32"/>
          <w:szCs w:val="32"/>
        </w:rPr>
        <w:t xml:space="preserve"> </w:t>
      </w:r>
      <w:r>
        <w:rPr>
          <w:sz w:val="32"/>
          <w:szCs w:val="32"/>
        </w:rPr>
        <w:t>—</w:t>
      </w:r>
      <w:r w:rsidRPr="00F51338">
        <w:rPr>
          <w:sz w:val="32"/>
          <w:szCs w:val="32"/>
        </w:rPr>
        <w:t xml:space="preserve"> Approved Forms</w:t>
      </w:r>
      <w:bookmarkEnd w:id="59"/>
    </w:p>
    <w:p w:rsidR="006409B0" w:rsidRDefault="006409B0">
      <w:pPr>
        <w:spacing w:after="200" w:line="276" w:lineRule="auto"/>
        <w:rPr>
          <w:b/>
        </w:rPr>
      </w:pPr>
      <w:r>
        <w:rPr>
          <w:b/>
        </w:rPr>
        <w:br w:type="page"/>
      </w:r>
    </w:p>
    <w:p w:rsidR="000F6423" w:rsidRPr="00855440" w:rsidRDefault="000F6423" w:rsidP="000F6423">
      <w:pPr>
        <w:spacing w:after="480"/>
        <w:jc w:val="center"/>
        <w:rPr>
          <w:b/>
          <w:sz w:val="28"/>
          <w:szCs w:val="28"/>
        </w:rPr>
      </w:pPr>
      <w:r w:rsidRPr="00855440">
        <w:rPr>
          <w:b/>
          <w:sz w:val="28"/>
          <w:szCs w:val="28"/>
        </w:rPr>
        <w:t>[Action heading]</w:t>
      </w:r>
    </w:p>
    <w:p w:rsidR="000F6423" w:rsidRPr="00DC61D2" w:rsidRDefault="000F6423" w:rsidP="000F6423">
      <w:pPr>
        <w:tabs>
          <w:tab w:val="right" w:pos="8222"/>
        </w:tabs>
        <w:ind w:right="-143"/>
        <w:rPr>
          <w:b/>
          <w:sz w:val="22"/>
          <w:szCs w:val="22"/>
        </w:rPr>
      </w:pPr>
      <w:r>
        <w:rPr>
          <w:b/>
          <w:sz w:val="22"/>
          <w:szCs w:val="22"/>
        </w:rPr>
        <w:tab/>
        <w:t>Rule 10</w:t>
      </w:r>
    </w:p>
    <w:p w:rsidR="000F6423" w:rsidRPr="001F19EB" w:rsidRDefault="000F6423" w:rsidP="000F6423">
      <w:pPr>
        <w:pStyle w:val="clausehead"/>
        <w:tabs>
          <w:tab w:val="right" w:pos="8222"/>
        </w:tabs>
        <w:spacing w:after="720"/>
        <w:rPr>
          <w:sz w:val="24"/>
          <w:szCs w:val="24"/>
        </w:rPr>
      </w:pPr>
      <w:bookmarkStart w:id="60" w:name="_Toc436145913"/>
      <w:bookmarkStart w:id="61" w:name="_Toc386701835"/>
      <w:r w:rsidRPr="001F19EB">
        <w:rPr>
          <w:b w:val="0"/>
          <w:sz w:val="24"/>
          <w:szCs w:val="24"/>
        </w:rPr>
        <w:t xml:space="preserve">Form </w:t>
      </w:r>
      <w:r>
        <w:rPr>
          <w:b w:val="0"/>
          <w:sz w:val="24"/>
          <w:szCs w:val="24"/>
        </w:rPr>
        <w:t xml:space="preserve">FTS </w:t>
      </w:r>
      <w:r w:rsidRPr="001F19EB">
        <w:rPr>
          <w:b w:val="0"/>
          <w:sz w:val="24"/>
          <w:szCs w:val="24"/>
        </w:rPr>
        <w:t>1</w:t>
      </w:r>
      <w:r w:rsidRPr="001F19EB">
        <w:rPr>
          <w:sz w:val="24"/>
          <w:szCs w:val="24"/>
        </w:rPr>
        <w:tab/>
      </w:r>
      <w:r w:rsidRPr="001F19EB">
        <w:rPr>
          <w:b w:val="0"/>
          <w:sz w:val="24"/>
          <w:szCs w:val="24"/>
        </w:rPr>
        <w:t>Election into Fast Track Stream</w:t>
      </w:r>
      <w:bookmarkEnd w:id="60"/>
    </w:p>
    <w:bookmarkEnd w:id="61"/>
    <w:p w:rsidR="000F6423" w:rsidRPr="0073112A" w:rsidRDefault="000F6423" w:rsidP="000F6423">
      <w:pPr>
        <w:pStyle w:val="Heading3"/>
        <w:spacing w:after="480"/>
        <w:jc w:val="center"/>
        <w:rPr>
          <w:rFonts w:ascii="Times New Roman" w:hAnsi="Times New Roman"/>
        </w:rPr>
      </w:pPr>
      <w:r w:rsidRPr="0073112A">
        <w:rPr>
          <w:rFonts w:ascii="Times New Roman" w:hAnsi="Times New Roman"/>
        </w:rPr>
        <w:t>ELECTION INTO FAST TRACK STREAM</w:t>
      </w:r>
    </w:p>
    <w:p w:rsidR="000F6423" w:rsidRDefault="000F6423" w:rsidP="000F6423">
      <w:pPr>
        <w:spacing w:after="480"/>
        <w:jc w:val="both"/>
        <w:rPr>
          <w:sz w:val="22"/>
          <w:szCs w:val="22"/>
        </w:rPr>
      </w:pPr>
      <w:r>
        <w:rPr>
          <w:sz w:val="22"/>
          <w:szCs w:val="22"/>
        </w:rPr>
        <w:t xml:space="preserve">The </w:t>
      </w:r>
      <w:r w:rsidRPr="004120D0">
        <w:rPr>
          <w:sz w:val="22"/>
          <w:szCs w:val="22"/>
        </w:rPr>
        <w:t>(</w:t>
      </w:r>
      <w:r>
        <w:rPr>
          <w:i/>
          <w:sz w:val="22"/>
          <w:szCs w:val="22"/>
        </w:rPr>
        <w:t>role of party</w:t>
      </w:r>
      <w:r w:rsidRPr="004120D0">
        <w:rPr>
          <w:sz w:val="22"/>
          <w:szCs w:val="22"/>
        </w:rPr>
        <w:t>)</w:t>
      </w:r>
      <w:r>
        <w:rPr>
          <w:sz w:val="22"/>
          <w:szCs w:val="22"/>
        </w:rPr>
        <w:t xml:space="preserve">, </w:t>
      </w:r>
      <w:r w:rsidRPr="004120D0">
        <w:rPr>
          <w:sz w:val="22"/>
          <w:szCs w:val="22"/>
        </w:rPr>
        <w:t>(</w:t>
      </w:r>
      <w:r w:rsidRPr="00A83B2B">
        <w:rPr>
          <w:i/>
          <w:sz w:val="22"/>
          <w:szCs w:val="22"/>
        </w:rPr>
        <w:t>name of party</w:t>
      </w:r>
      <w:r w:rsidRPr="004120D0">
        <w:rPr>
          <w:sz w:val="22"/>
          <w:szCs w:val="22"/>
        </w:rPr>
        <w:t>)</w:t>
      </w:r>
      <w:r>
        <w:rPr>
          <w:sz w:val="22"/>
          <w:szCs w:val="22"/>
        </w:rPr>
        <w:t xml:space="preserve"> </w:t>
      </w:r>
      <w:r>
        <w:rPr>
          <w:b/>
          <w:sz w:val="22"/>
          <w:szCs w:val="22"/>
        </w:rPr>
        <w:t xml:space="preserve">ELECTS </w:t>
      </w:r>
      <w:r w:rsidRPr="00A72648">
        <w:rPr>
          <w:sz w:val="22"/>
          <w:szCs w:val="22"/>
        </w:rPr>
        <w:t>pursuant to rule 10</w:t>
      </w:r>
      <w:r>
        <w:rPr>
          <w:b/>
          <w:sz w:val="22"/>
          <w:szCs w:val="22"/>
        </w:rPr>
        <w:t xml:space="preserve"> </w:t>
      </w:r>
      <w:r>
        <w:rPr>
          <w:sz w:val="22"/>
          <w:szCs w:val="22"/>
        </w:rPr>
        <w:t xml:space="preserve">that this proceeding be instituted in/transferred into </w:t>
      </w:r>
      <w:r w:rsidRPr="004120D0">
        <w:rPr>
          <w:sz w:val="22"/>
          <w:szCs w:val="22"/>
        </w:rPr>
        <w:t>(</w:t>
      </w:r>
      <w:r>
        <w:rPr>
          <w:i/>
          <w:sz w:val="22"/>
          <w:szCs w:val="22"/>
        </w:rPr>
        <w:t>strike out whichever is inapplicable</w:t>
      </w:r>
      <w:r w:rsidRPr="004120D0">
        <w:rPr>
          <w:sz w:val="22"/>
          <w:szCs w:val="22"/>
        </w:rPr>
        <w:t>)</w:t>
      </w:r>
      <w:r>
        <w:rPr>
          <w:sz w:val="22"/>
          <w:szCs w:val="22"/>
        </w:rPr>
        <w:t xml:space="preserve"> the Fast Track Stream.</w:t>
      </w:r>
    </w:p>
    <w:p w:rsidR="000F6423" w:rsidRDefault="000F6423" w:rsidP="000F6423">
      <w:pPr>
        <w:rPr>
          <w:sz w:val="22"/>
          <w:szCs w:val="22"/>
        </w:rPr>
      </w:pPr>
      <w:r>
        <w:rPr>
          <w:sz w:val="22"/>
          <w:szCs w:val="22"/>
        </w:rPr>
        <w:t xml:space="preserve">It is </w:t>
      </w:r>
      <w:r>
        <w:rPr>
          <w:b/>
          <w:sz w:val="22"/>
          <w:szCs w:val="22"/>
        </w:rPr>
        <w:t xml:space="preserve">CERTIFIED </w:t>
      </w:r>
      <w:r>
        <w:rPr>
          <w:sz w:val="22"/>
          <w:szCs w:val="22"/>
        </w:rPr>
        <w:t>that, in my reasonable opinion:</w:t>
      </w:r>
    </w:p>
    <w:p w:rsidR="000F6423" w:rsidRDefault="000F6423" w:rsidP="000F6423">
      <w:pPr>
        <w:rPr>
          <w:sz w:val="22"/>
          <w:szCs w:val="22"/>
        </w:rPr>
      </w:pPr>
    </w:p>
    <w:p w:rsidR="000F6423" w:rsidRDefault="000F6423" w:rsidP="000F6423">
      <w:pPr>
        <w:jc w:val="both"/>
        <w:rPr>
          <w:sz w:val="22"/>
          <w:szCs w:val="22"/>
        </w:rPr>
      </w:pPr>
      <w:r>
        <w:rPr>
          <w:sz w:val="22"/>
          <w:szCs w:val="22"/>
        </w:rPr>
        <w:tab/>
        <w:t>(a)</w:t>
      </w:r>
      <w:r>
        <w:rPr>
          <w:sz w:val="22"/>
          <w:szCs w:val="22"/>
        </w:rPr>
        <w:tab/>
        <w:t xml:space="preserve">the combined quantum of the claim and of any counterclaim does not exceed </w:t>
      </w:r>
      <w:r>
        <w:rPr>
          <w:sz w:val="22"/>
          <w:szCs w:val="22"/>
        </w:rPr>
        <w:tab/>
      </w:r>
      <w:r>
        <w:rPr>
          <w:sz w:val="22"/>
          <w:szCs w:val="22"/>
        </w:rPr>
        <w:tab/>
        <w:t>$250,000; and</w:t>
      </w:r>
    </w:p>
    <w:p w:rsidR="000F6423" w:rsidRPr="00DC61D2" w:rsidRDefault="000F6423" w:rsidP="000F6423">
      <w:pPr>
        <w:jc w:val="both"/>
        <w:rPr>
          <w:sz w:val="22"/>
          <w:szCs w:val="22"/>
        </w:rPr>
      </w:pPr>
    </w:p>
    <w:p w:rsidR="000F6423" w:rsidRDefault="000F6423" w:rsidP="000F6423">
      <w:pPr>
        <w:jc w:val="both"/>
        <w:rPr>
          <w:sz w:val="22"/>
          <w:szCs w:val="22"/>
        </w:rPr>
      </w:pPr>
      <w:r>
        <w:rPr>
          <w:sz w:val="22"/>
          <w:szCs w:val="22"/>
        </w:rPr>
        <w:tab/>
        <w:t>(b)</w:t>
      </w:r>
      <w:r>
        <w:rPr>
          <w:sz w:val="22"/>
          <w:szCs w:val="22"/>
        </w:rPr>
        <w:tab/>
        <w:t>the trial of the proceeding is not expected to take more than three days.</w:t>
      </w: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r>
        <w:rPr>
          <w:sz w:val="22"/>
          <w:szCs w:val="22"/>
        </w:rPr>
        <w:t>Dated             20……</w:t>
      </w:r>
    </w:p>
    <w:p w:rsidR="000F6423" w:rsidRDefault="000F6423" w:rsidP="000F6423">
      <w:pPr>
        <w:rPr>
          <w:sz w:val="22"/>
          <w:szCs w:val="22"/>
        </w:rPr>
      </w:pPr>
    </w:p>
    <w:p w:rsidR="000F6423" w:rsidRDefault="000F6423" w:rsidP="000F6423">
      <w:pPr>
        <w:rPr>
          <w:sz w:val="22"/>
          <w:szCs w:val="22"/>
        </w:rPr>
      </w:pPr>
      <w:r>
        <w:rPr>
          <w:sz w:val="22"/>
          <w:szCs w:val="22"/>
        </w:rPr>
        <w:t>(</w:t>
      </w:r>
      <w:r>
        <w:rPr>
          <w:i/>
          <w:sz w:val="22"/>
          <w:szCs w:val="22"/>
        </w:rPr>
        <w:t>s</w:t>
      </w:r>
      <w:r w:rsidRPr="002C6746">
        <w:rPr>
          <w:i/>
          <w:sz w:val="22"/>
          <w:szCs w:val="22"/>
        </w:rPr>
        <w:t>igned</w:t>
      </w:r>
      <w:r w:rsidRPr="004120D0">
        <w:rPr>
          <w:sz w:val="22"/>
          <w:szCs w:val="22"/>
        </w:rPr>
        <w:t>)</w:t>
      </w:r>
      <w:r>
        <w:rPr>
          <w:sz w:val="22"/>
          <w:szCs w:val="22"/>
        </w:rPr>
        <w:t xml:space="preserve">  ………………………………………………………………</w:t>
      </w:r>
    </w:p>
    <w:p w:rsidR="000F6423" w:rsidRDefault="000F6423" w:rsidP="000F6423">
      <w:pPr>
        <w:rPr>
          <w:sz w:val="22"/>
          <w:szCs w:val="22"/>
        </w:rPr>
      </w:pPr>
    </w:p>
    <w:p w:rsidR="000F6423" w:rsidRDefault="000F6423" w:rsidP="000F6423">
      <w:pPr>
        <w:ind w:firstLine="567"/>
        <w:rPr>
          <w:i/>
          <w:sz w:val="22"/>
          <w:szCs w:val="22"/>
        </w:rPr>
      </w:pPr>
      <w:r>
        <w:rPr>
          <w:sz w:val="22"/>
          <w:szCs w:val="22"/>
        </w:rPr>
        <w:t xml:space="preserve">     </w:t>
      </w:r>
      <w:r w:rsidRPr="00A72648">
        <w:rPr>
          <w:sz w:val="22"/>
          <w:szCs w:val="22"/>
        </w:rPr>
        <w:t>Solicitor for the</w:t>
      </w:r>
      <w:r>
        <w:rPr>
          <w:i/>
          <w:sz w:val="22"/>
          <w:szCs w:val="22"/>
        </w:rPr>
        <w:t xml:space="preserve"> </w:t>
      </w:r>
      <w:r w:rsidRPr="004120D0">
        <w:rPr>
          <w:sz w:val="22"/>
          <w:szCs w:val="22"/>
        </w:rPr>
        <w:t>(</w:t>
      </w:r>
      <w:r>
        <w:rPr>
          <w:i/>
          <w:sz w:val="22"/>
          <w:szCs w:val="22"/>
        </w:rPr>
        <w:t>role and name of party</w:t>
      </w:r>
      <w:r>
        <w:rPr>
          <w:sz w:val="22"/>
          <w:szCs w:val="22"/>
        </w:rPr>
        <w:t>)</w:t>
      </w:r>
    </w:p>
    <w:p w:rsidR="000F6423" w:rsidRDefault="000F6423" w:rsidP="000F6423">
      <w:pPr>
        <w:ind w:left="567"/>
        <w:rPr>
          <w:sz w:val="22"/>
          <w:szCs w:val="22"/>
        </w:rPr>
      </w:pPr>
      <w:r>
        <w:rPr>
          <w:sz w:val="22"/>
          <w:szCs w:val="22"/>
        </w:rPr>
        <w:t xml:space="preserve">     </w:t>
      </w:r>
    </w:p>
    <w:p w:rsidR="000F6423" w:rsidRPr="002C6746" w:rsidRDefault="000F6423" w:rsidP="000F6423">
      <w:pPr>
        <w:ind w:left="567"/>
        <w:rPr>
          <w:sz w:val="22"/>
          <w:szCs w:val="22"/>
        </w:rPr>
      </w:pPr>
      <w:r>
        <w:rPr>
          <w:sz w:val="22"/>
          <w:szCs w:val="22"/>
        </w:rPr>
        <w:t xml:space="preserve">     </w:t>
      </w:r>
      <w:r w:rsidRPr="004120D0">
        <w:rPr>
          <w:sz w:val="22"/>
          <w:szCs w:val="22"/>
        </w:rPr>
        <w:t>(</w:t>
      </w:r>
      <w:r w:rsidRPr="00145E47">
        <w:rPr>
          <w:i/>
          <w:sz w:val="22"/>
          <w:szCs w:val="22"/>
        </w:rPr>
        <w:t>OR</w:t>
      </w:r>
      <w:r w:rsidRPr="004120D0">
        <w:rPr>
          <w:sz w:val="22"/>
          <w:szCs w:val="22"/>
        </w:rPr>
        <w:t>)</w:t>
      </w:r>
    </w:p>
    <w:p w:rsidR="000F6423" w:rsidRDefault="000F6423" w:rsidP="000F6423">
      <w:pPr>
        <w:ind w:left="567"/>
        <w:rPr>
          <w:i/>
          <w:sz w:val="22"/>
          <w:szCs w:val="22"/>
        </w:rPr>
      </w:pPr>
    </w:p>
    <w:p w:rsidR="000F6423" w:rsidRDefault="000F6423" w:rsidP="000F6423">
      <w:pPr>
        <w:ind w:left="567"/>
        <w:rPr>
          <w:sz w:val="22"/>
          <w:szCs w:val="22"/>
        </w:rPr>
      </w:pPr>
      <w:r w:rsidRPr="00145E47">
        <w:rPr>
          <w:sz w:val="22"/>
          <w:szCs w:val="22"/>
        </w:rPr>
        <w:t xml:space="preserve">     </w:t>
      </w:r>
      <w:r w:rsidRPr="004120D0">
        <w:rPr>
          <w:sz w:val="22"/>
          <w:szCs w:val="22"/>
        </w:rPr>
        <w:t>(</w:t>
      </w:r>
      <w:r>
        <w:rPr>
          <w:i/>
          <w:sz w:val="22"/>
          <w:szCs w:val="22"/>
        </w:rPr>
        <w:t>w</w:t>
      </w:r>
      <w:r w:rsidRPr="00B57A86">
        <w:rPr>
          <w:i/>
          <w:sz w:val="22"/>
          <w:szCs w:val="22"/>
        </w:rPr>
        <w:t>here self represented,</w:t>
      </w:r>
      <w:r>
        <w:rPr>
          <w:sz w:val="22"/>
          <w:szCs w:val="22"/>
        </w:rPr>
        <w:t xml:space="preserve"> </w:t>
      </w:r>
      <w:r>
        <w:rPr>
          <w:i/>
          <w:sz w:val="22"/>
          <w:szCs w:val="22"/>
        </w:rPr>
        <w:t>role and name of party</w:t>
      </w:r>
      <w:r>
        <w:rPr>
          <w:sz w:val="22"/>
          <w:szCs w:val="22"/>
        </w:rPr>
        <w:t>)</w:t>
      </w: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Pr="001F19EB" w:rsidRDefault="000F6423" w:rsidP="000F6423">
      <w:pPr>
        <w:tabs>
          <w:tab w:val="right" w:pos="8222"/>
        </w:tabs>
        <w:rPr>
          <w:b/>
          <w:sz w:val="22"/>
          <w:szCs w:val="22"/>
        </w:rPr>
      </w:pPr>
      <w:r>
        <w:br w:type="page"/>
      </w:r>
      <w:bookmarkStart w:id="62" w:name="_Toc386701836"/>
    </w:p>
    <w:p w:rsidR="00C62D01" w:rsidRPr="003136C4" w:rsidRDefault="00C62D01" w:rsidP="00C62D01">
      <w:pPr>
        <w:tabs>
          <w:tab w:val="left" w:pos="0"/>
          <w:tab w:val="center" w:pos="397"/>
        </w:tabs>
        <w:rPr>
          <w:rFonts w:ascii="Arial" w:hAnsi="Arial" w:cs="Arial"/>
          <w:color w:val="808080"/>
          <w:sz w:val="18"/>
          <w:szCs w:val="26"/>
          <w:lang w:val="en-US"/>
        </w:rPr>
      </w:pPr>
      <w:r>
        <w:rPr>
          <w:rFonts w:ascii="Arial" w:hAnsi="Arial" w:cs="Arial"/>
          <w:color w:val="808080"/>
          <w:sz w:val="18"/>
          <w:szCs w:val="26"/>
          <w:lang w:val="en-US"/>
        </w:rPr>
        <w:t>[Form FTS 2A deleted by District Court Fast Track Supplementary Rules Adoption Rules 2014 (Amendment No. 1)]</w:t>
      </w:r>
    </w:p>
    <w:p w:rsidR="000F6423" w:rsidRPr="001F19EB" w:rsidRDefault="000F6423" w:rsidP="00C62D01">
      <w:pPr>
        <w:pStyle w:val="clausehead"/>
        <w:tabs>
          <w:tab w:val="right" w:pos="8222"/>
        </w:tabs>
        <w:spacing w:before="0" w:after="720"/>
        <w:rPr>
          <w:b w:val="0"/>
          <w:sz w:val="24"/>
          <w:szCs w:val="24"/>
        </w:rPr>
      </w:pPr>
      <w:bookmarkStart w:id="63" w:name="_Toc436145914"/>
      <w:r w:rsidRPr="001F19EB">
        <w:rPr>
          <w:b w:val="0"/>
          <w:sz w:val="24"/>
          <w:szCs w:val="24"/>
        </w:rPr>
        <w:t>Form</w:t>
      </w:r>
      <w:r>
        <w:rPr>
          <w:b w:val="0"/>
          <w:sz w:val="24"/>
          <w:szCs w:val="24"/>
        </w:rPr>
        <w:t xml:space="preserve"> FTS</w:t>
      </w:r>
      <w:r w:rsidRPr="001F19EB">
        <w:rPr>
          <w:b w:val="0"/>
          <w:sz w:val="24"/>
          <w:szCs w:val="24"/>
        </w:rPr>
        <w:t xml:space="preserve"> 2A</w:t>
      </w:r>
      <w:r w:rsidR="00C62D01">
        <w:rPr>
          <w:b w:val="0"/>
          <w:sz w:val="24"/>
          <w:szCs w:val="24"/>
        </w:rPr>
        <w:t>**********************************************************</w:t>
      </w:r>
      <w:bookmarkEnd w:id="63"/>
    </w:p>
    <w:bookmarkEnd w:id="62"/>
    <w:p w:rsidR="000F6423" w:rsidRDefault="000F6423" w:rsidP="000F6423">
      <w:pPr>
        <w:rPr>
          <w:sz w:val="22"/>
          <w:szCs w:val="22"/>
        </w:rPr>
      </w:pPr>
    </w:p>
    <w:p w:rsidR="000F6423" w:rsidRPr="001F19EB" w:rsidRDefault="000F6423" w:rsidP="000F6423">
      <w:pPr>
        <w:tabs>
          <w:tab w:val="right" w:pos="8364"/>
        </w:tabs>
        <w:ind w:right="-1"/>
        <w:rPr>
          <w:b/>
          <w:sz w:val="22"/>
          <w:szCs w:val="22"/>
        </w:rPr>
      </w:pPr>
      <w:r>
        <w:br w:type="page"/>
      </w:r>
      <w:bookmarkStart w:id="64" w:name="_Toc386701837"/>
    </w:p>
    <w:p w:rsidR="00C62D01" w:rsidRPr="003136C4" w:rsidRDefault="00C62D01" w:rsidP="00C62D01">
      <w:pPr>
        <w:tabs>
          <w:tab w:val="left" w:pos="0"/>
          <w:tab w:val="center" w:pos="397"/>
        </w:tabs>
        <w:rPr>
          <w:rFonts w:ascii="Arial" w:hAnsi="Arial" w:cs="Arial"/>
          <w:color w:val="808080"/>
          <w:sz w:val="18"/>
          <w:szCs w:val="26"/>
          <w:lang w:val="en-US"/>
        </w:rPr>
      </w:pPr>
      <w:r>
        <w:rPr>
          <w:rFonts w:ascii="Arial" w:hAnsi="Arial" w:cs="Arial"/>
          <w:color w:val="808080"/>
          <w:sz w:val="18"/>
          <w:szCs w:val="26"/>
          <w:lang w:val="en-US"/>
        </w:rPr>
        <w:t>[Form FTS 2B deleted by District Court Fast Track Supplementary Rules Adoption Rules 2014 (Amendment No. 1)]</w:t>
      </w:r>
    </w:p>
    <w:p w:rsidR="000F6423" w:rsidRPr="001F19EB" w:rsidRDefault="000F6423" w:rsidP="00C62D01">
      <w:pPr>
        <w:pStyle w:val="clausehead"/>
        <w:tabs>
          <w:tab w:val="right" w:pos="8364"/>
        </w:tabs>
        <w:spacing w:before="0" w:after="720"/>
        <w:rPr>
          <w:b w:val="0"/>
          <w:sz w:val="24"/>
          <w:szCs w:val="24"/>
        </w:rPr>
      </w:pPr>
      <w:bookmarkStart w:id="65" w:name="_Toc436145915"/>
      <w:r w:rsidRPr="001F19EB">
        <w:rPr>
          <w:b w:val="0"/>
          <w:sz w:val="24"/>
          <w:szCs w:val="24"/>
        </w:rPr>
        <w:t xml:space="preserve">Form </w:t>
      </w:r>
      <w:r>
        <w:rPr>
          <w:b w:val="0"/>
          <w:sz w:val="24"/>
          <w:szCs w:val="24"/>
        </w:rPr>
        <w:t xml:space="preserve">FTS </w:t>
      </w:r>
      <w:r w:rsidRPr="001F19EB">
        <w:rPr>
          <w:b w:val="0"/>
          <w:sz w:val="24"/>
          <w:szCs w:val="24"/>
        </w:rPr>
        <w:t>2B</w:t>
      </w:r>
      <w:r w:rsidR="00C62D01">
        <w:rPr>
          <w:b w:val="0"/>
          <w:sz w:val="24"/>
          <w:szCs w:val="24"/>
        </w:rPr>
        <w:t>*********************************************************</w:t>
      </w:r>
      <w:bookmarkEnd w:id="65"/>
    </w:p>
    <w:bookmarkEnd w:id="64"/>
    <w:p w:rsidR="000F6423" w:rsidRPr="001F19EB" w:rsidRDefault="000F6423" w:rsidP="000F6423">
      <w:pPr>
        <w:tabs>
          <w:tab w:val="right" w:pos="8222"/>
        </w:tabs>
        <w:spacing w:after="120"/>
        <w:rPr>
          <w:b/>
          <w:sz w:val="22"/>
          <w:szCs w:val="22"/>
        </w:rPr>
      </w:pPr>
      <w:r>
        <w:rPr>
          <w:sz w:val="22"/>
          <w:szCs w:val="22"/>
        </w:rPr>
        <w:br w:type="page"/>
      </w:r>
    </w:p>
    <w:p w:rsidR="00C62D01" w:rsidRPr="003136C4" w:rsidRDefault="00C62D01" w:rsidP="00C62D01">
      <w:pPr>
        <w:tabs>
          <w:tab w:val="left" w:pos="0"/>
          <w:tab w:val="center" w:pos="397"/>
        </w:tabs>
        <w:rPr>
          <w:rFonts w:ascii="Arial" w:hAnsi="Arial" w:cs="Arial"/>
          <w:color w:val="808080"/>
          <w:sz w:val="18"/>
          <w:szCs w:val="26"/>
          <w:lang w:val="en-US"/>
        </w:rPr>
      </w:pPr>
      <w:bookmarkStart w:id="66" w:name="_Toc386701838"/>
      <w:r>
        <w:rPr>
          <w:rFonts w:ascii="Arial" w:hAnsi="Arial" w:cs="Arial"/>
          <w:color w:val="808080"/>
          <w:sz w:val="18"/>
          <w:szCs w:val="26"/>
          <w:lang w:val="en-US"/>
        </w:rPr>
        <w:t>[Form FTS 3 deleted by District Court Fast Track Supplementary Rules Adoption Rules 2014 (Amendment No. 1)]</w:t>
      </w:r>
    </w:p>
    <w:p w:rsidR="000F6423" w:rsidRPr="000B662D" w:rsidRDefault="000F6423" w:rsidP="00C62D01">
      <w:pPr>
        <w:pStyle w:val="clausehead"/>
        <w:tabs>
          <w:tab w:val="right" w:pos="8222"/>
        </w:tabs>
        <w:spacing w:before="0" w:after="720"/>
        <w:rPr>
          <w:b w:val="0"/>
          <w:sz w:val="24"/>
          <w:szCs w:val="24"/>
        </w:rPr>
      </w:pPr>
      <w:bookmarkStart w:id="67" w:name="_Toc436145916"/>
      <w:r w:rsidRPr="000B662D">
        <w:rPr>
          <w:b w:val="0"/>
          <w:sz w:val="24"/>
          <w:szCs w:val="24"/>
        </w:rPr>
        <w:t xml:space="preserve">Form </w:t>
      </w:r>
      <w:r>
        <w:rPr>
          <w:b w:val="0"/>
          <w:sz w:val="24"/>
          <w:szCs w:val="24"/>
        </w:rPr>
        <w:t xml:space="preserve">FTS </w:t>
      </w:r>
      <w:r w:rsidRPr="000B662D">
        <w:rPr>
          <w:b w:val="0"/>
          <w:sz w:val="24"/>
          <w:szCs w:val="24"/>
        </w:rPr>
        <w:t>3</w:t>
      </w:r>
      <w:r w:rsidR="00C62D01">
        <w:rPr>
          <w:b w:val="0"/>
          <w:sz w:val="24"/>
          <w:szCs w:val="24"/>
        </w:rPr>
        <w:t>***********************************************************</w:t>
      </w:r>
      <w:bookmarkEnd w:id="67"/>
    </w:p>
    <w:bookmarkEnd w:id="66"/>
    <w:p w:rsidR="000F6423" w:rsidRPr="00D0701C" w:rsidRDefault="000F6423" w:rsidP="000F6423">
      <w:pPr>
        <w:tabs>
          <w:tab w:val="right" w:pos="8222"/>
        </w:tabs>
        <w:rPr>
          <w:b/>
          <w:sz w:val="22"/>
          <w:szCs w:val="22"/>
        </w:rPr>
      </w:pPr>
      <w:r>
        <w:rPr>
          <w:sz w:val="22"/>
          <w:szCs w:val="22"/>
        </w:rPr>
        <w:br w:type="page"/>
      </w:r>
    </w:p>
    <w:p w:rsidR="00C62D01" w:rsidRPr="003136C4" w:rsidRDefault="00C62D01" w:rsidP="00C62D01">
      <w:pPr>
        <w:tabs>
          <w:tab w:val="left" w:pos="0"/>
          <w:tab w:val="center" w:pos="397"/>
        </w:tabs>
        <w:rPr>
          <w:rFonts w:ascii="Arial" w:hAnsi="Arial" w:cs="Arial"/>
          <w:color w:val="808080"/>
          <w:sz w:val="18"/>
          <w:szCs w:val="26"/>
          <w:lang w:val="en-US"/>
        </w:rPr>
      </w:pPr>
      <w:bookmarkStart w:id="68" w:name="_Toc386701839"/>
      <w:r>
        <w:rPr>
          <w:rFonts w:ascii="Arial" w:hAnsi="Arial" w:cs="Arial"/>
          <w:color w:val="808080"/>
          <w:sz w:val="18"/>
          <w:szCs w:val="26"/>
          <w:lang w:val="en-US"/>
        </w:rPr>
        <w:t>[Form FTS 4A deleted by District Court Fast Track Supplementary Rules Adoption Rules 2014 (Amendment No. 1)]</w:t>
      </w:r>
    </w:p>
    <w:p w:rsidR="000F6423" w:rsidRPr="00D0701C" w:rsidRDefault="000F6423" w:rsidP="00C62D01">
      <w:pPr>
        <w:pStyle w:val="clausehead"/>
        <w:tabs>
          <w:tab w:val="right" w:pos="8222"/>
        </w:tabs>
        <w:spacing w:before="0" w:after="720"/>
        <w:rPr>
          <w:b w:val="0"/>
          <w:sz w:val="24"/>
          <w:szCs w:val="24"/>
        </w:rPr>
      </w:pPr>
      <w:bookmarkStart w:id="69" w:name="_Toc436145917"/>
      <w:r w:rsidRPr="00D0701C">
        <w:rPr>
          <w:b w:val="0"/>
          <w:sz w:val="24"/>
          <w:szCs w:val="24"/>
        </w:rPr>
        <w:t xml:space="preserve">Form </w:t>
      </w:r>
      <w:r>
        <w:rPr>
          <w:b w:val="0"/>
          <w:sz w:val="24"/>
          <w:szCs w:val="24"/>
        </w:rPr>
        <w:t xml:space="preserve">FTS </w:t>
      </w:r>
      <w:r w:rsidR="00C62D01">
        <w:rPr>
          <w:b w:val="0"/>
          <w:sz w:val="24"/>
          <w:szCs w:val="24"/>
        </w:rPr>
        <w:t>4A*********************************************************</w:t>
      </w:r>
      <w:bookmarkEnd w:id="69"/>
    </w:p>
    <w:bookmarkEnd w:id="68"/>
    <w:p w:rsidR="000F6423" w:rsidRDefault="000F6423" w:rsidP="000F6423">
      <w:pPr>
        <w:rPr>
          <w:sz w:val="22"/>
          <w:szCs w:val="22"/>
        </w:rPr>
      </w:pPr>
    </w:p>
    <w:p w:rsidR="000F6423" w:rsidRPr="00D0701C" w:rsidRDefault="000F6423" w:rsidP="000F6423">
      <w:pPr>
        <w:tabs>
          <w:tab w:val="right" w:pos="8222"/>
        </w:tabs>
        <w:spacing w:after="120"/>
        <w:rPr>
          <w:b/>
          <w:sz w:val="22"/>
          <w:szCs w:val="22"/>
        </w:rPr>
      </w:pPr>
      <w:r>
        <w:rPr>
          <w:sz w:val="22"/>
          <w:szCs w:val="22"/>
        </w:rPr>
        <w:br w:type="page"/>
      </w:r>
    </w:p>
    <w:p w:rsidR="00DA5593" w:rsidRPr="003136C4" w:rsidRDefault="00DA5593" w:rsidP="00DA5593">
      <w:pPr>
        <w:tabs>
          <w:tab w:val="left" w:pos="0"/>
          <w:tab w:val="center" w:pos="397"/>
        </w:tabs>
        <w:rPr>
          <w:rFonts w:ascii="Arial" w:hAnsi="Arial" w:cs="Arial"/>
          <w:color w:val="808080"/>
          <w:sz w:val="18"/>
          <w:szCs w:val="26"/>
          <w:lang w:val="en-US"/>
        </w:rPr>
      </w:pPr>
      <w:bookmarkStart w:id="70" w:name="_Toc386701840"/>
      <w:r>
        <w:rPr>
          <w:rFonts w:ascii="Arial" w:hAnsi="Arial" w:cs="Arial"/>
          <w:color w:val="808080"/>
          <w:sz w:val="18"/>
          <w:szCs w:val="26"/>
          <w:lang w:val="en-US"/>
        </w:rPr>
        <w:t>[Form FTS 4B deleted by District Court Fast Track Supplementary Rules Adoption Rules 2014 (Amendment No. 1)]</w:t>
      </w:r>
    </w:p>
    <w:p w:rsidR="000F6423" w:rsidRPr="00D0701C" w:rsidRDefault="000F6423" w:rsidP="00DA5593">
      <w:pPr>
        <w:pStyle w:val="clausehead"/>
        <w:tabs>
          <w:tab w:val="right" w:pos="8222"/>
        </w:tabs>
        <w:spacing w:before="0" w:after="720"/>
        <w:rPr>
          <w:b w:val="0"/>
          <w:sz w:val="24"/>
          <w:szCs w:val="24"/>
        </w:rPr>
      </w:pPr>
      <w:bookmarkStart w:id="71" w:name="_Toc436145918"/>
      <w:r w:rsidRPr="00D0701C">
        <w:rPr>
          <w:b w:val="0"/>
          <w:sz w:val="24"/>
          <w:szCs w:val="24"/>
        </w:rPr>
        <w:t xml:space="preserve">Form </w:t>
      </w:r>
      <w:r>
        <w:rPr>
          <w:b w:val="0"/>
          <w:sz w:val="24"/>
          <w:szCs w:val="24"/>
        </w:rPr>
        <w:t xml:space="preserve">FTS </w:t>
      </w:r>
      <w:r w:rsidRPr="00D0701C">
        <w:rPr>
          <w:b w:val="0"/>
          <w:sz w:val="24"/>
          <w:szCs w:val="24"/>
        </w:rPr>
        <w:t>4B</w:t>
      </w:r>
      <w:r w:rsidR="00C62D01">
        <w:rPr>
          <w:b w:val="0"/>
          <w:sz w:val="24"/>
          <w:szCs w:val="24"/>
        </w:rPr>
        <w:t>****************************************************</w:t>
      </w:r>
      <w:r w:rsidR="00DA5593">
        <w:rPr>
          <w:b w:val="0"/>
          <w:sz w:val="24"/>
          <w:szCs w:val="24"/>
        </w:rPr>
        <w:t>******</w:t>
      </w:r>
      <w:bookmarkEnd w:id="71"/>
    </w:p>
    <w:bookmarkEnd w:id="70"/>
    <w:p w:rsidR="000F6423" w:rsidRPr="00D0701C" w:rsidRDefault="000F6423" w:rsidP="000F6423">
      <w:pPr>
        <w:tabs>
          <w:tab w:val="right" w:pos="8222"/>
        </w:tabs>
        <w:rPr>
          <w:b/>
          <w:sz w:val="22"/>
          <w:szCs w:val="22"/>
        </w:rPr>
      </w:pPr>
      <w:r>
        <w:br w:type="page"/>
      </w:r>
      <w:bookmarkStart w:id="72" w:name="_Toc386701841"/>
      <w:r>
        <w:tab/>
      </w:r>
      <w:r w:rsidRPr="00D0701C">
        <w:rPr>
          <w:b/>
          <w:sz w:val="22"/>
          <w:szCs w:val="22"/>
        </w:rPr>
        <w:t xml:space="preserve">Rule </w:t>
      </w:r>
      <w:r>
        <w:rPr>
          <w:b/>
          <w:sz w:val="22"/>
          <w:szCs w:val="22"/>
        </w:rPr>
        <w:t>34</w:t>
      </w:r>
    </w:p>
    <w:p w:rsidR="000F6423" w:rsidRPr="00D0701C" w:rsidRDefault="000F6423" w:rsidP="000F6423">
      <w:pPr>
        <w:pStyle w:val="clausehead"/>
        <w:tabs>
          <w:tab w:val="right" w:pos="8222"/>
        </w:tabs>
        <w:spacing w:before="120" w:after="600"/>
        <w:rPr>
          <w:b w:val="0"/>
          <w:sz w:val="24"/>
          <w:szCs w:val="24"/>
        </w:rPr>
      </w:pPr>
      <w:bookmarkStart w:id="73" w:name="_Toc436145919"/>
      <w:r w:rsidRPr="00D0701C">
        <w:rPr>
          <w:b w:val="0"/>
          <w:sz w:val="24"/>
          <w:szCs w:val="24"/>
        </w:rPr>
        <w:t xml:space="preserve">Form </w:t>
      </w:r>
      <w:r>
        <w:rPr>
          <w:b w:val="0"/>
          <w:sz w:val="24"/>
          <w:szCs w:val="24"/>
        </w:rPr>
        <w:t xml:space="preserve">FTS </w:t>
      </w:r>
      <w:r w:rsidRPr="00D0701C">
        <w:rPr>
          <w:b w:val="0"/>
          <w:sz w:val="24"/>
          <w:szCs w:val="24"/>
        </w:rPr>
        <w:t>5</w:t>
      </w:r>
      <w:r w:rsidRPr="00D0701C">
        <w:rPr>
          <w:b w:val="0"/>
          <w:sz w:val="24"/>
          <w:szCs w:val="24"/>
        </w:rPr>
        <w:tab/>
        <w:t>Election for Fast Track Mid/High Scale</w:t>
      </w:r>
      <w:bookmarkEnd w:id="73"/>
    </w:p>
    <w:bookmarkEnd w:id="72"/>
    <w:p w:rsidR="000F6423" w:rsidRPr="0073112A" w:rsidRDefault="000F6423" w:rsidP="000F6423">
      <w:pPr>
        <w:pStyle w:val="Heading3"/>
        <w:spacing w:after="480"/>
        <w:jc w:val="center"/>
        <w:rPr>
          <w:rFonts w:ascii="Times New Roman" w:hAnsi="Times New Roman"/>
        </w:rPr>
      </w:pPr>
      <w:r w:rsidRPr="0073112A">
        <w:rPr>
          <w:rFonts w:ascii="Times New Roman" w:hAnsi="Times New Roman"/>
        </w:rPr>
        <w:t>ELECTION FOR FAST TRACK MID/HIGH SCALE</w:t>
      </w:r>
    </w:p>
    <w:p w:rsidR="000F6423" w:rsidRDefault="000F6423" w:rsidP="000F6423">
      <w:pPr>
        <w:jc w:val="both"/>
        <w:rPr>
          <w:sz w:val="22"/>
          <w:szCs w:val="22"/>
        </w:rPr>
      </w:pPr>
      <w:r>
        <w:rPr>
          <w:sz w:val="22"/>
          <w:szCs w:val="22"/>
        </w:rPr>
        <w:t xml:space="preserve">The </w:t>
      </w:r>
      <w:r w:rsidRPr="004120D0">
        <w:rPr>
          <w:sz w:val="22"/>
          <w:szCs w:val="22"/>
        </w:rPr>
        <w:t>(</w:t>
      </w:r>
      <w:r>
        <w:rPr>
          <w:i/>
          <w:sz w:val="22"/>
          <w:szCs w:val="22"/>
        </w:rPr>
        <w:t>role</w:t>
      </w:r>
      <w:r w:rsidRPr="00641ABF">
        <w:rPr>
          <w:i/>
          <w:sz w:val="22"/>
          <w:szCs w:val="22"/>
        </w:rPr>
        <w:t xml:space="preserve"> of party</w:t>
      </w:r>
      <w:r w:rsidRPr="004120D0">
        <w:rPr>
          <w:sz w:val="22"/>
          <w:szCs w:val="22"/>
        </w:rPr>
        <w:t>)</w:t>
      </w:r>
      <w:r w:rsidRPr="00641ABF">
        <w:rPr>
          <w:sz w:val="22"/>
          <w:szCs w:val="22"/>
        </w:rPr>
        <w:t xml:space="preserve">, </w:t>
      </w:r>
      <w:r w:rsidRPr="004120D0">
        <w:rPr>
          <w:sz w:val="22"/>
          <w:szCs w:val="22"/>
        </w:rPr>
        <w:t>(</w:t>
      </w:r>
      <w:r w:rsidRPr="00641ABF">
        <w:rPr>
          <w:i/>
          <w:sz w:val="22"/>
          <w:szCs w:val="22"/>
        </w:rPr>
        <w:t>name of party</w:t>
      </w:r>
      <w:r w:rsidRPr="004120D0">
        <w:rPr>
          <w:sz w:val="22"/>
          <w:szCs w:val="22"/>
        </w:rPr>
        <w:t>)</w:t>
      </w:r>
      <w:r w:rsidRPr="00641ABF">
        <w:rPr>
          <w:sz w:val="22"/>
          <w:szCs w:val="22"/>
        </w:rPr>
        <w:t xml:space="preserve"> </w:t>
      </w:r>
      <w:r>
        <w:rPr>
          <w:b/>
          <w:sz w:val="22"/>
          <w:szCs w:val="22"/>
        </w:rPr>
        <w:t xml:space="preserve">ELECTS </w:t>
      </w:r>
      <w:r w:rsidRPr="00391249">
        <w:rPr>
          <w:sz w:val="22"/>
          <w:szCs w:val="22"/>
        </w:rPr>
        <w:t>under rule 34</w:t>
      </w:r>
      <w:r>
        <w:rPr>
          <w:b/>
          <w:sz w:val="22"/>
          <w:szCs w:val="22"/>
        </w:rPr>
        <w:t xml:space="preserve"> </w:t>
      </w:r>
      <w:r>
        <w:rPr>
          <w:sz w:val="22"/>
          <w:szCs w:val="22"/>
        </w:rPr>
        <w:t xml:space="preserve">that the Fast Track Mid/High </w:t>
      </w:r>
      <w:r w:rsidRPr="004120D0">
        <w:rPr>
          <w:sz w:val="22"/>
          <w:szCs w:val="22"/>
        </w:rPr>
        <w:t>(</w:t>
      </w:r>
      <w:r>
        <w:rPr>
          <w:i/>
          <w:sz w:val="22"/>
          <w:szCs w:val="22"/>
        </w:rPr>
        <w:t>strike out whichever is inapplicable</w:t>
      </w:r>
      <w:r w:rsidRPr="004120D0">
        <w:rPr>
          <w:sz w:val="22"/>
          <w:szCs w:val="22"/>
        </w:rPr>
        <w:t>)</w:t>
      </w:r>
      <w:r>
        <w:rPr>
          <w:sz w:val="22"/>
          <w:szCs w:val="22"/>
        </w:rPr>
        <w:t xml:space="preserve"> Scale of Costs applies to this proceeding.</w:t>
      </w:r>
    </w:p>
    <w:p w:rsidR="000F6423" w:rsidRDefault="000F6423" w:rsidP="000F6423">
      <w:pPr>
        <w:jc w:val="both"/>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r>
        <w:rPr>
          <w:sz w:val="22"/>
          <w:szCs w:val="22"/>
        </w:rPr>
        <w:t>Dated             20……</w:t>
      </w:r>
    </w:p>
    <w:p w:rsidR="000F6423" w:rsidRDefault="000F6423" w:rsidP="000F6423">
      <w:pPr>
        <w:rPr>
          <w:sz w:val="22"/>
          <w:szCs w:val="22"/>
        </w:rPr>
      </w:pPr>
    </w:p>
    <w:p w:rsidR="000F6423" w:rsidRDefault="000F6423" w:rsidP="000F6423">
      <w:pPr>
        <w:rPr>
          <w:sz w:val="22"/>
          <w:szCs w:val="22"/>
        </w:rPr>
      </w:pPr>
      <w:r w:rsidRPr="004120D0">
        <w:rPr>
          <w:sz w:val="22"/>
          <w:szCs w:val="22"/>
        </w:rPr>
        <w:t>(</w:t>
      </w:r>
      <w:r>
        <w:rPr>
          <w:i/>
          <w:sz w:val="22"/>
          <w:szCs w:val="22"/>
        </w:rPr>
        <w:t>s</w:t>
      </w:r>
      <w:r w:rsidRPr="002C6746">
        <w:rPr>
          <w:i/>
          <w:sz w:val="22"/>
          <w:szCs w:val="22"/>
        </w:rPr>
        <w:t>igned</w:t>
      </w:r>
      <w:r w:rsidRPr="004120D0">
        <w:rPr>
          <w:sz w:val="22"/>
          <w:szCs w:val="22"/>
        </w:rPr>
        <w:t>)</w:t>
      </w:r>
      <w:r>
        <w:rPr>
          <w:sz w:val="22"/>
          <w:szCs w:val="22"/>
        </w:rPr>
        <w:t xml:space="preserve">  ………………………………………………………………</w:t>
      </w:r>
    </w:p>
    <w:p w:rsidR="000F6423" w:rsidRDefault="000F6423" w:rsidP="000F6423">
      <w:pPr>
        <w:rPr>
          <w:sz w:val="22"/>
          <w:szCs w:val="22"/>
        </w:rPr>
      </w:pPr>
    </w:p>
    <w:p w:rsidR="000F6423" w:rsidRDefault="000F6423" w:rsidP="000F6423">
      <w:pPr>
        <w:ind w:firstLine="567"/>
        <w:rPr>
          <w:i/>
          <w:sz w:val="22"/>
          <w:szCs w:val="22"/>
        </w:rPr>
      </w:pPr>
      <w:r>
        <w:rPr>
          <w:sz w:val="22"/>
          <w:szCs w:val="22"/>
        </w:rPr>
        <w:t xml:space="preserve">     </w:t>
      </w:r>
      <w:r w:rsidRPr="00A72648">
        <w:rPr>
          <w:sz w:val="22"/>
          <w:szCs w:val="22"/>
        </w:rPr>
        <w:t>Solicitor for the</w:t>
      </w:r>
      <w:r>
        <w:rPr>
          <w:i/>
          <w:sz w:val="22"/>
          <w:szCs w:val="22"/>
        </w:rPr>
        <w:t xml:space="preserve"> </w:t>
      </w:r>
      <w:r w:rsidRPr="004120D0">
        <w:rPr>
          <w:sz w:val="22"/>
          <w:szCs w:val="22"/>
        </w:rPr>
        <w:t>(</w:t>
      </w:r>
      <w:r>
        <w:rPr>
          <w:i/>
          <w:sz w:val="22"/>
          <w:szCs w:val="22"/>
        </w:rPr>
        <w:t>role and name of party</w:t>
      </w:r>
      <w:r>
        <w:rPr>
          <w:sz w:val="22"/>
          <w:szCs w:val="22"/>
        </w:rPr>
        <w:t>)</w:t>
      </w:r>
    </w:p>
    <w:p w:rsidR="000F6423" w:rsidRDefault="000F6423" w:rsidP="000F6423">
      <w:pPr>
        <w:ind w:left="567"/>
        <w:rPr>
          <w:sz w:val="22"/>
          <w:szCs w:val="22"/>
        </w:rPr>
      </w:pPr>
      <w:r>
        <w:rPr>
          <w:sz w:val="22"/>
          <w:szCs w:val="22"/>
        </w:rPr>
        <w:t xml:space="preserve">     </w:t>
      </w:r>
    </w:p>
    <w:p w:rsidR="000F6423" w:rsidRPr="002C6746" w:rsidRDefault="000F6423" w:rsidP="000F6423">
      <w:pPr>
        <w:ind w:left="567"/>
        <w:rPr>
          <w:sz w:val="22"/>
          <w:szCs w:val="22"/>
        </w:rPr>
      </w:pPr>
      <w:r>
        <w:rPr>
          <w:sz w:val="22"/>
          <w:szCs w:val="22"/>
        </w:rPr>
        <w:t xml:space="preserve">     </w:t>
      </w:r>
      <w:r w:rsidRPr="004120D0">
        <w:rPr>
          <w:sz w:val="22"/>
          <w:szCs w:val="22"/>
        </w:rPr>
        <w:t>(</w:t>
      </w:r>
      <w:r w:rsidRPr="00145E47">
        <w:rPr>
          <w:i/>
          <w:sz w:val="22"/>
          <w:szCs w:val="22"/>
        </w:rPr>
        <w:t>OR</w:t>
      </w:r>
      <w:r w:rsidRPr="004120D0">
        <w:rPr>
          <w:sz w:val="22"/>
          <w:szCs w:val="22"/>
        </w:rPr>
        <w:t>)</w:t>
      </w:r>
    </w:p>
    <w:p w:rsidR="000F6423" w:rsidRDefault="000F6423" w:rsidP="000F6423">
      <w:pPr>
        <w:ind w:left="567"/>
        <w:rPr>
          <w:i/>
          <w:sz w:val="22"/>
          <w:szCs w:val="22"/>
        </w:rPr>
      </w:pPr>
    </w:p>
    <w:p w:rsidR="000F6423" w:rsidRDefault="000F6423" w:rsidP="000F6423">
      <w:pPr>
        <w:ind w:left="567"/>
        <w:rPr>
          <w:sz w:val="22"/>
          <w:szCs w:val="22"/>
        </w:rPr>
      </w:pPr>
      <w:r w:rsidRPr="00145E47">
        <w:rPr>
          <w:sz w:val="22"/>
          <w:szCs w:val="22"/>
        </w:rPr>
        <w:t xml:space="preserve">     </w:t>
      </w:r>
      <w:r w:rsidRPr="004120D0">
        <w:rPr>
          <w:sz w:val="22"/>
          <w:szCs w:val="22"/>
        </w:rPr>
        <w:t>(</w:t>
      </w:r>
      <w:r>
        <w:rPr>
          <w:i/>
          <w:sz w:val="22"/>
          <w:szCs w:val="22"/>
        </w:rPr>
        <w:t>w</w:t>
      </w:r>
      <w:r w:rsidRPr="00B57A86">
        <w:rPr>
          <w:i/>
          <w:sz w:val="22"/>
          <w:szCs w:val="22"/>
        </w:rPr>
        <w:t>here self represented,</w:t>
      </w:r>
      <w:r>
        <w:rPr>
          <w:sz w:val="22"/>
          <w:szCs w:val="22"/>
        </w:rPr>
        <w:t xml:space="preserve"> </w:t>
      </w:r>
      <w:r>
        <w:rPr>
          <w:i/>
          <w:sz w:val="22"/>
          <w:szCs w:val="22"/>
        </w:rPr>
        <w:t>role and name of party</w:t>
      </w:r>
      <w:r>
        <w:rPr>
          <w:sz w:val="22"/>
          <w:szCs w:val="22"/>
        </w:rPr>
        <w:t>)</w:t>
      </w:r>
    </w:p>
    <w:p w:rsidR="000F6423" w:rsidRDefault="000F6423" w:rsidP="000F6423">
      <w:pPr>
        <w:ind w:firstLine="567"/>
        <w:rPr>
          <w:sz w:val="22"/>
          <w:szCs w:val="22"/>
        </w:rPr>
      </w:pPr>
    </w:p>
    <w:p w:rsidR="000F6423" w:rsidRDefault="000F6423" w:rsidP="000F6423">
      <w:pPr>
        <w:rPr>
          <w:sz w:val="22"/>
          <w:szCs w:val="22"/>
        </w:rPr>
      </w:pPr>
    </w:p>
    <w:p w:rsidR="00C40A0E" w:rsidRDefault="00C40A0E">
      <w:pPr>
        <w:spacing w:after="200" w:line="276" w:lineRule="auto"/>
        <w:rPr>
          <w:sz w:val="22"/>
          <w:szCs w:val="22"/>
        </w:rPr>
      </w:pPr>
      <w:r>
        <w:rPr>
          <w:sz w:val="22"/>
          <w:szCs w:val="22"/>
        </w:rPr>
        <w:br w:type="page"/>
      </w:r>
    </w:p>
    <w:p w:rsidR="00C40A0E" w:rsidRPr="006840E3" w:rsidRDefault="00C40A0E" w:rsidP="00C40A0E">
      <w:pPr>
        <w:pStyle w:val="Chapter"/>
      </w:pPr>
      <w:bookmarkStart w:id="74" w:name="_Toc436146101"/>
      <w:r w:rsidRPr="006840E3">
        <w:t>History of Amendment</w:t>
      </w:r>
      <w:bookmarkEnd w:id="74"/>
    </w:p>
    <w:p w:rsidR="00C40A0E" w:rsidRDefault="00C40A0E" w:rsidP="00C40A0E"/>
    <w:tbl>
      <w:tblPr>
        <w:tblW w:w="925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0"/>
        <w:gridCol w:w="698"/>
        <w:gridCol w:w="992"/>
        <w:gridCol w:w="1134"/>
        <w:gridCol w:w="3118"/>
      </w:tblGrid>
      <w:tr w:rsidR="00C40A0E" w:rsidRPr="00565D38" w:rsidTr="00FE68CF">
        <w:trPr>
          <w:cantSplit/>
          <w:tblHeader/>
        </w:trPr>
        <w:tc>
          <w:tcPr>
            <w:tcW w:w="3310" w:type="dxa"/>
            <w:tcBorders>
              <w:bottom w:val="double" w:sz="4" w:space="0" w:color="auto"/>
            </w:tcBorders>
            <w:noWrap/>
            <w:tcMar>
              <w:top w:w="15" w:type="dxa"/>
              <w:left w:w="360" w:type="dxa"/>
              <w:bottom w:w="0" w:type="dxa"/>
              <w:right w:w="15" w:type="dxa"/>
            </w:tcMar>
          </w:tcPr>
          <w:p w:rsidR="00C40A0E" w:rsidRPr="00FD2AD6" w:rsidRDefault="00C40A0E" w:rsidP="00FE68CF">
            <w:pPr>
              <w:spacing w:before="60" w:after="60"/>
              <w:rPr>
                <w:b/>
                <w:bCs/>
              </w:rPr>
            </w:pPr>
            <w:r w:rsidRPr="00FD2AD6">
              <w:rPr>
                <w:b/>
                <w:bCs/>
                <w:sz w:val="22"/>
                <w:szCs w:val="22"/>
              </w:rPr>
              <w:t>Rules</w:t>
            </w:r>
          </w:p>
        </w:tc>
        <w:tc>
          <w:tcPr>
            <w:tcW w:w="1690" w:type="dxa"/>
            <w:gridSpan w:val="2"/>
            <w:tcBorders>
              <w:bottom w:val="double" w:sz="4" w:space="0" w:color="auto"/>
            </w:tcBorders>
            <w:noWrap/>
            <w:tcMar>
              <w:top w:w="15" w:type="dxa"/>
              <w:left w:w="15" w:type="dxa"/>
              <w:bottom w:w="0" w:type="dxa"/>
              <w:right w:w="15" w:type="dxa"/>
            </w:tcMar>
          </w:tcPr>
          <w:p w:rsidR="00C40A0E" w:rsidRPr="00FD2AD6" w:rsidRDefault="00C40A0E" w:rsidP="00FE68CF">
            <w:pPr>
              <w:spacing w:before="60" w:after="60"/>
              <w:jc w:val="center"/>
              <w:rPr>
                <w:b/>
                <w:bCs/>
              </w:rPr>
            </w:pPr>
            <w:r w:rsidRPr="00FD2AD6">
              <w:rPr>
                <w:b/>
                <w:bCs/>
                <w:sz w:val="22"/>
                <w:szCs w:val="22"/>
              </w:rPr>
              <w:t>Amendments</w:t>
            </w:r>
          </w:p>
        </w:tc>
        <w:tc>
          <w:tcPr>
            <w:tcW w:w="4252" w:type="dxa"/>
            <w:gridSpan w:val="2"/>
            <w:tcBorders>
              <w:bottom w:val="double" w:sz="4" w:space="0" w:color="auto"/>
            </w:tcBorders>
            <w:noWrap/>
            <w:tcMar>
              <w:top w:w="15" w:type="dxa"/>
              <w:left w:w="15" w:type="dxa"/>
              <w:bottom w:w="0" w:type="dxa"/>
              <w:right w:w="15" w:type="dxa"/>
            </w:tcMar>
          </w:tcPr>
          <w:p w:rsidR="00C40A0E" w:rsidRPr="00FD2AD6" w:rsidRDefault="00C40A0E" w:rsidP="00FE68CF">
            <w:pPr>
              <w:spacing w:before="60" w:after="60"/>
              <w:jc w:val="center"/>
              <w:rPr>
                <w:b/>
                <w:bCs/>
              </w:rPr>
            </w:pPr>
            <w:r w:rsidRPr="00FD2AD6">
              <w:rPr>
                <w:b/>
                <w:bCs/>
                <w:sz w:val="22"/>
                <w:szCs w:val="22"/>
              </w:rPr>
              <w:t>Date of Operation</w:t>
            </w:r>
          </w:p>
        </w:tc>
      </w:tr>
      <w:tr w:rsidR="00C40A0E" w:rsidRPr="00565D38" w:rsidTr="00FE68CF">
        <w:trPr>
          <w:cantSplit/>
          <w:tblHeader/>
        </w:trPr>
        <w:tc>
          <w:tcPr>
            <w:tcW w:w="9252" w:type="dxa"/>
            <w:gridSpan w:val="5"/>
            <w:tcBorders>
              <w:top w:val="double" w:sz="4" w:space="0" w:color="auto"/>
              <w:bottom w:val="double" w:sz="4" w:space="0" w:color="auto"/>
            </w:tcBorders>
            <w:noWrap/>
            <w:tcMar>
              <w:top w:w="15" w:type="dxa"/>
              <w:left w:w="360" w:type="dxa"/>
              <w:bottom w:w="0" w:type="dxa"/>
              <w:right w:w="15" w:type="dxa"/>
            </w:tcMar>
          </w:tcPr>
          <w:p w:rsidR="00C40A0E" w:rsidRPr="00FD2AD6" w:rsidRDefault="00C40A0E" w:rsidP="00FE68CF">
            <w:pPr>
              <w:spacing w:before="60" w:after="60"/>
              <w:jc w:val="center"/>
            </w:pPr>
            <w:r w:rsidRPr="00FD2AD6">
              <w:rPr>
                <w:sz w:val="22"/>
                <w:szCs w:val="22"/>
              </w:rPr>
              <w:t xml:space="preserve">am = amended; del = deleted; ins = inserted; ren = renumbered; </w:t>
            </w:r>
            <w:r w:rsidRPr="00FD2AD6">
              <w:rPr>
                <w:sz w:val="22"/>
                <w:szCs w:val="22"/>
              </w:rPr>
              <w:br/>
              <w:t>sub = substituted</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Chapter 6</w:t>
            </w:r>
          </w:p>
        </w:tc>
        <w:tc>
          <w:tcPr>
            <w:tcW w:w="2126" w:type="dxa"/>
            <w:gridSpan w:val="2"/>
            <w:noWrap/>
            <w:tcMar>
              <w:top w:w="15" w:type="dxa"/>
              <w:left w:w="15" w:type="dxa"/>
              <w:bottom w:w="0" w:type="dxa"/>
              <w:right w:w="15" w:type="dxa"/>
            </w:tcMar>
          </w:tcPr>
          <w:p w:rsidR="00C40A0E" w:rsidRPr="00FE68CF" w:rsidRDefault="00C40A0E" w:rsidP="00FE68CF">
            <w:pPr>
              <w:spacing w:before="60" w:after="60"/>
              <w:jc w:val="center"/>
              <w:rPr>
                <w:rFonts w:eastAsia="Arial Unicode MS"/>
              </w:rP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spacing w:before="60" w:after="60"/>
              <w:jc w:val="center"/>
            </w:pPr>
            <w:r w:rsidRPr="00FE68CF">
              <w:rPr>
                <w:sz w:val="22"/>
                <w:szCs w:val="22"/>
              </w:rPr>
              <w:t>1 December 2015</w:t>
            </w:r>
          </w:p>
        </w:tc>
      </w:tr>
      <w:tr w:rsidR="006D3C90" w:rsidRPr="006D3C90" w:rsidTr="00FE68CF">
        <w:trPr>
          <w:cantSplit/>
        </w:trPr>
        <w:tc>
          <w:tcPr>
            <w:tcW w:w="4008" w:type="dxa"/>
            <w:gridSpan w:val="2"/>
            <w:noWrap/>
            <w:tcMar>
              <w:top w:w="15" w:type="dxa"/>
              <w:left w:w="360" w:type="dxa"/>
              <w:bottom w:w="0" w:type="dxa"/>
              <w:right w:w="15" w:type="dxa"/>
            </w:tcMar>
          </w:tcPr>
          <w:p w:rsidR="006D3C90" w:rsidRPr="006D3C90" w:rsidRDefault="006D3C90" w:rsidP="00FE68CF">
            <w:pPr>
              <w:spacing w:before="60"/>
              <w:ind w:firstLineChars="100" w:firstLine="220"/>
              <w:rPr>
                <w:rFonts w:eastAsia="Arial Unicode MS"/>
                <w:b/>
              </w:rPr>
            </w:pPr>
            <w:r w:rsidRPr="006D3C90">
              <w:rPr>
                <w:rFonts w:eastAsia="Arial Unicode MS"/>
                <w:b/>
                <w:sz w:val="22"/>
                <w:szCs w:val="22"/>
              </w:rPr>
              <w:t>10(4)(ha)</w:t>
            </w:r>
          </w:p>
        </w:tc>
        <w:tc>
          <w:tcPr>
            <w:tcW w:w="2126" w:type="dxa"/>
            <w:gridSpan w:val="2"/>
            <w:noWrap/>
            <w:tcMar>
              <w:top w:w="15" w:type="dxa"/>
              <w:left w:w="15" w:type="dxa"/>
              <w:bottom w:w="0" w:type="dxa"/>
              <w:right w:w="15" w:type="dxa"/>
            </w:tcMar>
          </w:tcPr>
          <w:p w:rsidR="006D3C90" w:rsidRPr="006D3C90" w:rsidRDefault="006D3C90" w:rsidP="00C40A0E">
            <w:pPr>
              <w:jc w:val="center"/>
              <w:rPr>
                <w:rFonts w:eastAsia="Arial Unicode MS"/>
                <w:b/>
              </w:rPr>
            </w:pPr>
            <w:r>
              <w:rPr>
                <w:rFonts w:eastAsia="Arial Unicode MS"/>
                <w:b/>
                <w:sz w:val="22"/>
                <w:szCs w:val="22"/>
              </w:rPr>
              <w:t>i</w:t>
            </w:r>
            <w:r w:rsidRPr="006D3C90">
              <w:rPr>
                <w:rFonts w:eastAsia="Arial Unicode MS"/>
                <w:b/>
                <w:sz w:val="22"/>
                <w:szCs w:val="22"/>
              </w:rPr>
              <w:t>ns am02</w:t>
            </w:r>
          </w:p>
        </w:tc>
        <w:tc>
          <w:tcPr>
            <w:tcW w:w="3118" w:type="dxa"/>
            <w:noWrap/>
            <w:tcMar>
              <w:top w:w="15" w:type="dxa"/>
              <w:left w:w="15" w:type="dxa"/>
              <w:bottom w:w="0" w:type="dxa"/>
              <w:right w:w="15" w:type="dxa"/>
            </w:tcMar>
          </w:tcPr>
          <w:p w:rsidR="006D3C90" w:rsidRPr="006D3C90" w:rsidRDefault="006D3C90" w:rsidP="00FE68CF">
            <w:pPr>
              <w:jc w:val="center"/>
              <w:rPr>
                <w:rFonts w:eastAsia="Arial Unicode MS"/>
                <w:b/>
              </w:rPr>
            </w:pPr>
            <w:r w:rsidRPr="006D3C90">
              <w:rPr>
                <w:rFonts w:eastAsia="Arial Unicode MS"/>
                <w:b/>
                <w:sz w:val="22"/>
                <w:szCs w:val="22"/>
              </w:rPr>
              <w:t>1 September 2016</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rPr>
                <w:rFonts w:eastAsia="Arial Unicode MS"/>
              </w:rPr>
            </w:pPr>
            <w:r w:rsidRPr="00FE68CF">
              <w:rPr>
                <w:rFonts w:eastAsia="Arial Unicode MS"/>
                <w:sz w:val="22"/>
                <w:szCs w:val="22"/>
              </w:rPr>
              <w:t>12</w:t>
            </w:r>
          </w:p>
        </w:tc>
        <w:tc>
          <w:tcPr>
            <w:tcW w:w="2126" w:type="dxa"/>
            <w:gridSpan w:val="2"/>
            <w:noWrap/>
            <w:tcMar>
              <w:top w:w="15" w:type="dxa"/>
              <w:left w:w="15" w:type="dxa"/>
              <w:bottom w:w="0" w:type="dxa"/>
              <w:right w:w="15" w:type="dxa"/>
            </w:tcMar>
          </w:tcPr>
          <w:p w:rsidR="00C40A0E" w:rsidRPr="00FE68CF" w:rsidRDefault="00C40A0E" w:rsidP="00C40A0E">
            <w:pPr>
              <w:jc w:val="center"/>
              <w:rPr>
                <w:rFonts w:eastAsia="Arial Unicode MS"/>
              </w:rP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jc w:val="center"/>
              <w:rPr>
                <w:rFonts w:eastAsia="Arial Unicode MS"/>
              </w:rPr>
            </w:pPr>
            <w:r w:rsidRPr="00FE68CF">
              <w:rPr>
                <w:rFonts w:eastAsia="Arial Unicode MS"/>
                <w:sz w:val="22"/>
                <w:szCs w:val="22"/>
              </w:rPr>
              <w:t>1 December 2015</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13</w:t>
            </w:r>
          </w:p>
        </w:tc>
        <w:tc>
          <w:tcPr>
            <w:tcW w:w="2126" w:type="dxa"/>
            <w:gridSpan w:val="2"/>
            <w:noWrap/>
            <w:tcMar>
              <w:top w:w="15" w:type="dxa"/>
              <w:left w:w="15" w:type="dxa"/>
              <w:bottom w:w="0" w:type="dxa"/>
              <w:right w:w="15" w:type="dxa"/>
            </w:tcMar>
          </w:tcPr>
          <w:p w:rsidR="00C40A0E" w:rsidRPr="00FE68CF" w:rsidRDefault="00C40A0E" w:rsidP="00FE68CF">
            <w:pPr>
              <w:jc w:val="cente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jc w:val="center"/>
            </w:pPr>
            <w:r w:rsidRPr="00FE68CF">
              <w:rPr>
                <w:sz w:val="22"/>
                <w:szCs w:val="22"/>
              </w:rPr>
              <w:t>1 December 2015</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Form 2A</w:t>
            </w:r>
          </w:p>
        </w:tc>
        <w:tc>
          <w:tcPr>
            <w:tcW w:w="2126" w:type="dxa"/>
            <w:gridSpan w:val="2"/>
            <w:noWrap/>
            <w:tcMar>
              <w:top w:w="15" w:type="dxa"/>
              <w:left w:w="15" w:type="dxa"/>
              <w:bottom w:w="0" w:type="dxa"/>
              <w:right w:w="15" w:type="dxa"/>
            </w:tcMar>
          </w:tcPr>
          <w:p w:rsidR="00C40A0E" w:rsidRPr="00FE68CF" w:rsidRDefault="00C40A0E" w:rsidP="00C40A0E">
            <w:pPr>
              <w:spacing w:before="60" w:after="60"/>
              <w:jc w:val="center"/>
              <w:rPr>
                <w:rFonts w:eastAsia="Arial Unicode MS"/>
              </w:rP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spacing w:before="60" w:after="60"/>
              <w:jc w:val="center"/>
            </w:pPr>
            <w:r w:rsidRPr="00FE68CF">
              <w:rPr>
                <w:sz w:val="22"/>
                <w:szCs w:val="22"/>
              </w:rPr>
              <w:t>1 December 2015</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Form 2B</w:t>
            </w:r>
          </w:p>
        </w:tc>
        <w:tc>
          <w:tcPr>
            <w:tcW w:w="2126" w:type="dxa"/>
            <w:gridSpan w:val="2"/>
            <w:noWrap/>
            <w:tcMar>
              <w:top w:w="15" w:type="dxa"/>
              <w:left w:w="15" w:type="dxa"/>
              <w:bottom w:w="0" w:type="dxa"/>
              <w:right w:w="15" w:type="dxa"/>
            </w:tcMar>
          </w:tcPr>
          <w:p w:rsidR="00C40A0E" w:rsidRPr="00FE68CF" w:rsidRDefault="00C40A0E" w:rsidP="00C40A0E">
            <w:pPr>
              <w:spacing w:before="60" w:after="60"/>
              <w:jc w:val="center"/>
              <w:rPr>
                <w:rFonts w:eastAsia="Arial Unicode MS"/>
              </w:rP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spacing w:before="60" w:after="60"/>
              <w:jc w:val="center"/>
            </w:pPr>
            <w:r w:rsidRPr="00FE68CF">
              <w:rPr>
                <w:sz w:val="22"/>
                <w:szCs w:val="22"/>
              </w:rPr>
              <w:t>1 December 2015</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Form FTS3</w:t>
            </w:r>
          </w:p>
        </w:tc>
        <w:tc>
          <w:tcPr>
            <w:tcW w:w="2126" w:type="dxa"/>
            <w:gridSpan w:val="2"/>
            <w:noWrap/>
            <w:tcMar>
              <w:top w:w="15" w:type="dxa"/>
              <w:left w:w="15" w:type="dxa"/>
              <w:bottom w:w="0" w:type="dxa"/>
              <w:right w:w="15" w:type="dxa"/>
            </w:tcMar>
          </w:tcPr>
          <w:p w:rsidR="00C40A0E" w:rsidRPr="00FE68CF" w:rsidRDefault="00C40A0E" w:rsidP="00C40A0E">
            <w:pPr>
              <w:jc w:val="center"/>
            </w:pPr>
            <w:r w:rsidRPr="00FE68CF">
              <w:rPr>
                <w:sz w:val="22"/>
                <w:szCs w:val="22"/>
              </w:rPr>
              <w:t>am am01</w:t>
            </w:r>
          </w:p>
        </w:tc>
        <w:tc>
          <w:tcPr>
            <w:tcW w:w="3118" w:type="dxa"/>
            <w:noWrap/>
            <w:tcMar>
              <w:top w:w="15" w:type="dxa"/>
              <w:left w:w="15" w:type="dxa"/>
              <w:bottom w:w="0" w:type="dxa"/>
              <w:right w:w="15" w:type="dxa"/>
            </w:tcMar>
          </w:tcPr>
          <w:p w:rsidR="00C40A0E" w:rsidRPr="00FE68CF" w:rsidRDefault="00C40A0E" w:rsidP="00FE68CF">
            <w:pPr>
              <w:jc w:val="center"/>
            </w:pPr>
            <w:r w:rsidRPr="00FE68CF">
              <w:rPr>
                <w:sz w:val="22"/>
                <w:szCs w:val="22"/>
              </w:rPr>
              <w:t>1 December 2015</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Form 4A</w:t>
            </w:r>
          </w:p>
        </w:tc>
        <w:tc>
          <w:tcPr>
            <w:tcW w:w="2126" w:type="dxa"/>
            <w:gridSpan w:val="2"/>
            <w:noWrap/>
            <w:tcMar>
              <w:top w:w="15" w:type="dxa"/>
              <w:left w:w="15" w:type="dxa"/>
              <w:bottom w:w="0" w:type="dxa"/>
              <w:right w:w="15" w:type="dxa"/>
            </w:tcMar>
          </w:tcPr>
          <w:p w:rsidR="00C40A0E" w:rsidRPr="00FE68CF" w:rsidRDefault="00C40A0E" w:rsidP="00C40A0E">
            <w:pPr>
              <w:spacing w:before="60" w:after="60"/>
              <w:jc w:val="center"/>
              <w:rPr>
                <w:rFonts w:eastAsia="Arial Unicode MS"/>
              </w:rP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spacing w:before="60" w:after="60"/>
              <w:jc w:val="center"/>
            </w:pPr>
            <w:r w:rsidRPr="00FE68CF">
              <w:rPr>
                <w:sz w:val="22"/>
                <w:szCs w:val="22"/>
              </w:rPr>
              <w:t>1 December 2015</w:t>
            </w:r>
          </w:p>
        </w:tc>
      </w:tr>
      <w:tr w:rsidR="00C40A0E" w:rsidRPr="00FE68CF" w:rsidTr="00FE68CF">
        <w:trPr>
          <w:cantSplit/>
        </w:trPr>
        <w:tc>
          <w:tcPr>
            <w:tcW w:w="4008" w:type="dxa"/>
            <w:gridSpan w:val="2"/>
            <w:noWrap/>
            <w:tcMar>
              <w:top w:w="15" w:type="dxa"/>
              <w:left w:w="360" w:type="dxa"/>
              <w:bottom w:w="0" w:type="dxa"/>
              <w:right w:w="15" w:type="dxa"/>
            </w:tcMar>
          </w:tcPr>
          <w:p w:rsidR="00C40A0E" w:rsidRPr="00FE68CF" w:rsidRDefault="00C40A0E" w:rsidP="00FE68CF">
            <w:pPr>
              <w:spacing w:before="60"/>
              <w:ind w:firstLineChars="100" w:firstLine="220"/>
            </w:pPr>
            <w:r w:rsidRPr="00FE68CF">
              <w:rPr>
                <w:sz w:val="22"/>
                <w:szCs w:val="22"/>
              </w:rPr>
              <w:t>Form 4B</w:t>
            </w:r>
          </w:p>
        </w:tc>
        <w:tc>
          <w:tcPr>
            <w:tcW w:w="2126" w:type="dxa"/>
            <w:gridSpan w:val="2"/>
            <w:noWrap/>
            <w:tcMar>
              <w:top w:w="15" w:type="dxa"/>
              <w:left w:w="15" w:type="dxa"/>
              <w:bottom w:w="0" w:type="dxa"/>
              <w:right w:w="15" w:type="dxa"/>
            </w:tcMar>
          </w:tcPr>
          <w:p w:rsidR="00C40A0E" w:rsidRPr="00FE68CF" w:rsidRDefault="00C40A0E" w:rsidP="00C40A0E">
            <w:pPr>
              <w:spacing w:before="60" w:after="60"/>
              <w:jc w:val="center"/>
              <w:rPr>
                <w:rFonts w:eastAsia="Arial Unicode MS"/>
              </w:rPr>
            </w:pPr>
            <w:r w:rsidRPr="00FE68CF">
              <w:rPr>
                <w:rFonts w:eastAsia="Arial Unicode MS"/>
                <w:sz w:val="22"/>
                <w:szCs w:val="22"/>
              </w:rPr>
              <w:t>del am01</w:t>
            </w:r>
          </w:p>
        </w:tc>
        <w:tc>
          <w:tcPr>
            <w:tcW w:w="3118" w:type="dxa"/>
            <w:noWrap/>
            <w:tcMar>
              <w:top w:w="15" w:type="dxa"/>
              <w:left w:w="15" w:type="dxa"/>
              <w:bottom w:w="0" w:type="dxa"/>
              <w:right w:w="15" w:type="dxa"/>
            </w:tcMar>
          </w:tcPr>
          <w:p w:rsidR="00C40A0E" w:rsidRPr="00FE68CF" w:rsidRDefault="00C40A0E" w:rsidP="00FE68CF">
            <w:pPr>
              <w:spacing w:before="60" w:after="60"/>
              <w:jc w:val="center"/>
            </w:pPr>
            <w:r w:rsidRPr="00FE68CF">
              <w:rPr>
                <w:sz w:val="22"/>
                <w:szCs w:val="22"/>
              </w:rPr>
              <w:t>1 December 2015</w:t>
            </w:r>
          </w:p>
        </w:tc>
      </w:tr>
      <w:tr w:rsidR="00C40A0E" w:rsidRPr="00565D38" w:rsidTr="00FE68CF">
        <w:trPr>
          <w:cantSplit/>
        </w:trPr>
        <w:tc>
          <w:tcPr>
            <w:tcW w:w="4008" w:type="dxa"/>
            <w:gridSpan w:val="2"/>
            <w:noWrap/>
            <w:tcMar>
              <w:top w:w="15" w:type="dxa"/>
              <w:left w:w="360" w:type="dxa"/>
              <w:bottom w:w="0" w:type="dxa"/>
              <w:right w:w="15" w:type="dxa"/>
            </w:tcMar>
          </w:tcPr>
          <w:p w:rsidR="00C40A0E" w:rsidRPr="00FD2AD6" w:rsidRDefault="00C40A0E" w:rsidP="00FE68CF">
            <w:pPr>
              <w:spacing w:before="60"/>
              <w:ind w:firstLineChars="100" w:firstLine="240"/>
            </w:pPr>
          </w:p>
        </w:tc>
        <w:tc>
          <w:tcPr>
            <w:tcW w:w="2126" w:type="dxa"/>
            <w:gridSpan w:val="2"/>
            <w:noWrap/>
            <w:tcMar>
              <w:top w:w="15" w:type="dxa"/>
              <w:left w:w="15" w:type="dxa"/>
              <w:bottom w:w="0" w:type="dxa"/>
              <w:right w:w="15" w:type="dxa"/>
            </w:tcMar>
          </w:tcPr>
          <w:p w:rsidR="00C40A0E" w:rsidRPr="00FD2AD6" w:rsidRDefault="00C40A0E" w:rsidP="00FE68CF">
            <w:pPr>
              <w:spacing w:before="60" w:after="60"/>
              <w:jc w:val="center"/>
            </w:pPr>
          </w:p>
        </w:tc>
        <w:tc>
          <w:tcPr>
            <w:tcW w:w="3118" w:type="dxa"/>
            <w:noWrap/>
            <w:tcMar>
              <w:top w:w="15" w:type="dxa"/>
              <w:left w:w="15" w:type="dxa"/>
              <w:bottom w:w="0" w:type="dxa"/>
              <w:right w:w="15" w:type="dxa"/>
            </w:tcMar>
          </w:tcPr>
          <w:p w:rsidR="00C40A0E" w:rsidRPr="00FD2AD6" w:rsidRDefault="00C40A0E" w:rsidP="00FE68CF">
            <w:pPr>
              <w:spacing w:before="60" w:after="60"/>
              <w:jc w:val="center"/>
            </w:pPr>
          </w:p>
        </w:tc>
      </w:tr>
      <w:tr w:rsidR="00C40A0E" w:rsidRPr="00565D38" w:rsidTr="00FE68CF">
        <w:trPr>
          <w:cantSplit/>
        </w:trPr>
        <w:tc>
          <w:tcPr>
            <w:tcW w:w="4008" w:type="dxa"/>
            <w:gridSpan w:val="2"/>
            <w:noWrap/>
            <w:tcMar>
              <w:top w:w="15" w:type="dxa"/>
              <w:left w:w="360" w:type="dxa"/>
              <w:bottom w:w="0" w:type="dxa"/>
              <w:right w:w="15" w:type="dxa"/>
            </w:tcMar>
          </w:tcPr>
          <w:p w:rsidR="00C40A0E" w:rsidRPr="00FD2AD6" w:rsidRDefault="00C40A0E" w:rsidP="00FE68CF">
            <w:pPr>
              <w:spacing w:before="60"/>
              <w:ind w:firstLineChars="100" w:firstLine="240"/>
            </w:pPr>
          </w:p>
        </w:tc>
        <w:tc>
          <w:tcPr>
            <w:tcW w:w="2126" w:type="dxa"/>
            <w:gridSpan w:val="2"/>
            <w:noWrap/>
            <w:tcMar>
              <w:top w:w="15" w:type="dxa"/>
              <w:left w:w="15" w:type="dxa"/>
              <w:bottom w:w="0" w:type="dxa"/>
              <w:right w:w="15" w:type="dxa"/>
            </w:tcMar>
          </w:tcPr>
          <w:p w:rsidR="00C40A0E" w:rsidRPr="00FD2AD6" w:rsidRDefault="00C40A0E" w:rsidP="00FE68CF">
            <w:pPr>
              <w:spacing w:before="60" w:after="60"/>
              <w:jc w:val="center"/>
            </w:pPr>
          </w:p>
        </w:tc>
        <w:tc>
          <w:tcPr>
            <w:tcW w:w="3118" w:type="dxa"/>
            <w:noWrap/>
            <w:tcMar>
              <w:top w:w="15" w:type="dxa"/>
              <w:left w:w="15" w:type="dxa"/>
              <w:bottom w:w="0" w:type="dxa"/>
              <w:right w:w="15" w:type="dxa"/>
            </w:tcMar>
          </w:tcPr>
          <w:p w:rsidR="00C40A0E" w:rsidRPr="00FD2AD6" w:rsidRDefault="00C40A0E" w:rsidP="00FE68CF">
            <w:pPr>
              <w:spacing w:before="60" w:after="60"/>
              <w:jc w:val="center"/>
            </w:pPr>
          </w:p>
        </w:tc>
      </w:tr>
      <w:tr w:rsidR="00C40A0E" w:rsidRPr="00565D38" w:rsidTr="00FE68CF">
        <w:trPr>
          <w:cantSplit/>
        </w:trPr>
        <w:tc>
          <w:tcPr>
            <w:tcW w:w="4008" w:type="dxa"/>
            <w:gridSpan w:val="2"/>
            <w:noWrap/>
            <w:tcMar>
              <w:top w:w="15" w:type="dxa"/>
              <w:left w:w="360" w:type="dxa"/>
              <w:bottom w:w="0" w:type="dxa"/>
              <w:right w:w="15" w:type="dxa"/>
            </w:tcMar>
          </w:tcPr>
          <w:p w:rsidR="00C40A0E" w:rsidRPr="00FD2AD6" w:rsidRDefault="00C40A0E" w:rsidP="00FE68CF">
            <w:pPr>
              <w:spacing w:before="60"/>
              <w:ind w:firstLineChars="100" w:firstLine="240"/>
              <w:rPr>
                <w:rFonts w:eastAsia="Arial Unicode MS"/>
              </w:rPr>
            </w:pPr>
          </w:p>
        </w:tc>
        <w:tc>
          <w:tcPr>
            <w:tcW w:w="2126" w:type="dxa"/>
            <w:gridSpan w:val="2"/>
            <w:noWrap/>
            <w:tcMar>
              <w:top w:w="15" w:type="dxa"/>
              <w:left w:w="15" w:type="dxa"/>
              <w:bottom w:w="0" w:type="dxa"/>
              <w:right w:w="15" w:type="dxa"/>
            </w:tcMar>
          </w:tcPr>
          <w:p w:rsidR="00C40A0E" w:rsidRPr="00FD2AD6" w:rsidRDefault="00C40A0E" w:rsidP="00FE68CF">
            <w:pPr>
              <w:spacing w:before="60" w:after="60"/>
              <w:jc w:val="center"/>
              <w:rPr>
                <w:rFonts w:eastAsia="Arial Unicode MS"/>
              </w:rPr>
            </w:pPr>
          </w:p>
        </w:tc>
        <w:tc>
          <w:tcPr>
            <w:tcW w:w="3118" w:type="dxa"/>
            <w:noWrap/>
            <w:tcMar>
              <w:top w:w="15" w:type="dxa"/>
              <w:left w:w="15" w:type="dxa"/>
              <w:bottom w:w="0" w:type="dxa"/>
              <w:right w:w="15" w:type="dxa"/>
            </w:tcMar>
          </w:tcPr>
          <w:p w:rsidR="00C40A0E" w:rsidRPr="00FD2AD6" w:rsidRDefault="00C40A0E" w:rsidP="00FE68CF">
            <w:pPr>
              <w:spacing w:before="60" w:after="60"/>
              <w:jc w:val="center"/>
              <w:rPr>
                <w:rFonts w:eastAsia="Arial Unicode MS"/>
              </w:rPr>
            </w:pPr>
          </w:p>
        </w:tc>
      </w:tr>
    </w:tbl>
    <w:p w:rsidR="00C40A0E" w:rsidRPr="00565D38" w:rsidRDefault="00C40A0E" w:rsidP="00C40A0E"/>
    <w:p w:rsidR="00C40A0E" w:rsidRPr="00565D38" w:rsidRDefault="00C40A0E" w:rsidP="00C40A0E">
      <w:pPr>
        <w:spacing w:after="160" w:line="259" w:lineRule="auto"/>
      </w:pPr>
    </w:p>
    <w:p w:rsidR="000F6423" w:rsidRDefault="000F6423" w:rsidP="000F6423">
      <w:pPr>
        <w:rPr>
          <w:sz w:val="22"/>
          <w:szCs w:val="22"/>
        </w:rPr>
      </w:pPr>
    </w:p>
    <w:p w:rsidR="000F6423" w:rsidRPr="0083570B" w:rsidRDefault="000F6423" w:rsidP="000F6423">
      <w:pPr>
        <w:rPr>
          <w:sz w:val="22"/>
          <w:szCs w:val="22"/>
        </w:rPr>
      </w:pPr>
    </w:p>
    <w:p w:rsidR="000F6423" w:rsidRPr="00B51A24" w:rsidRDefault="000F6423" w:rsidP="000F6423">
      <w:pPr>
        <w:rPr>
          <w:b/>
        </w:rPr>
      </w:pPr>
    </w:p>
    <w:p w:rsidR="000F6423" w:rsidRPr="00661934" w:rsidRDefault="000F6423" w:rsidP="000F6423"/>
    <w:p w:rsidR="000F6423" w:rsidRPr="0081447D" w:rsidRDefault="000F6423">
      <w:pPr>
        <w:rPr>
          <w:sz w:val="22"/>
          <w:szCs w:val="22"/>
          <w:lang w:val="en-AU"/>
        </w:rPr>
      </w:pPr>
    </w:p>
    <w:sectPr w:rsidR="000F6423" w:rsidRPr="0081447D" w:rsidSect="0073112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8CF" w:rsidRDefault="00FE68CF" w:rsidP="004F1C26">
      <w:r>
        <w:separator/>
      </w:r>
    </w:p>
  </w:endnote>
  <w:endnote w:type="continuationSeparator" w:id="0">
    <w:p w:rsidR="00FE68CF" w:rsidRDefault="00FE68CF" w:rsidP="004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CF" w:rsidRDefault="00FE68CF">
    <w:pPr>
      <w:pStyle w:val="Footer"/>
      <w:jc w:val="right"/>
    </w:pPr>
    <w:r>
      <w:t>___________________________________________________________________________</w:t>
    </w:r>
  </w:p>
  <w:p w:rsidR="00FE68CF" w:rsidRDefault="00FE68CF">
    <w:pPr>
      <w:pStyle w:val="Footer"/>
      <w:jc w:val="right"/>
    </w:pPr>
    <w:r>
      <w:fldChar w:fldCharType="begin"/>
    </w:r>
    <w:r>
      <w:instrText xml:space="preserve"> PAGE   \* MERGEFORMAT </w:instrText>
    </w:r>
    <w:r>
      <w:fldChar w:fldCharType="separate"/>
    </w:r>
    <w:r w:rsidR="000713BE">
      <w:rPr>
        <w:noProof/>
      </w:rPr>
      <w:t>ii</w:t>
    </w:r>
    <w:r>
      <w:fldChar w:fldCharType="end"/>
    </w:r>
  </w:p>
  <w:p w:rsidR="00FE68CF" w:rsidRPr="0073112A" w:rsidRDefault="00FE68CF" w:rsidP="0073112A">
    <w:pPr>
      <w:pStyle w:val="Footer"/>
      <w:rPr>
        <w:sz w:val="22"/>
        <w:szCs w:val="22"/>
      </w:rPr>
    </w:pPr>
    <w:r w:rsidRPr="0073112A">
      <w:rPr>
        <w:sz w:val="22"/>
        <w:szCs w:val="22"/>
      </w:rPr>
      <w:t>District Court Fast Track Supplementary Rules Adoption Rules 2014</w:t>
    </w:r>
  </w:p>
  <w:p w:rsidR="00FE68CF" w:rsidRPr="0073112A" w:rsidRDefault="00FE68CF">
    <w:pPr>
      <w:pStyle w:val="Footer"/>
      <w:rPr>
        <w:sz w:val="22"/>
        <w:szCs w:val="22"/>
      </w:rPr>
    </w:pPr>
    <w:r w:rsidRPr="0073112A">
      <w:rPr>
        <w:sz w:val="22"/>
        <w:szCs w:val="22"/>
      </w:rPr>
      <w:t xml:space="preserve">Current to 1 </w:t>
    </w:r>
    <w:r>
      <w:rPr>
        <w:sz w:val="22"/>
        <w:szCs w:val="22"/>
      </w:rPr>
      <w:t>September 2016 (Amendment No.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CF" w:rsidRDefault="00FE68CF">
    <w:pPr>
      <w:pStyle w:val="Footer"/>
      <w:jc w:val="right"/>
    </w:pPr>
    <w:r>
      <w:t>___________________________________________________________________________</w:t>
    </w:r>
  </w:p>
  <w:p w:rsidR="00FE68CF" w:rsidRDefault="00FE68CF">
    <w:pPr>
      <w:pStyle w:val="Footer"/>
      <w:jc w:val="right"/>
    </w:pPr>
    <w:r>
      <w:t>i</w:t>
    </w:r>
  </w:p>
  <w:p w:rsidR="00FE68CF" w:rsidRPr="0073112A" w:rsidRDefault="00FE68CF">
    <w:pPr>
      <w:pStyle w:val="Footer"/>
      <w:rPr>
        <w:sz w:val="22"/>
        <w:szCs w:val="22"/>
      </w:rPr>
    </w:pPr>
    <w:r w:rsidRPr="0073112A">
      <w:rPr>
        <w:sz w:val="22"/>
        <w:szCs w:val="22"/>
      </w:rPr>
      <w:t>District Court Fast Track Supplementary Rules Adoption Rules 2014</w:t>
    </w:r>
  </w:p>
  <w:p w:rsidR="00FE68CF" w:rsidRPr="0073112A" w:rsidRDefault="00FE68CF">
    <w:pPr>
      <w:pStyle w:val="Footer"/>
      <w:rPr>
        <w:sz w:val="22"/>
        <w:szCs w:val="22"/>
      </w:rPr>
    </w:pPr>
    <w:r w:rsidRPr="0073112A">
      <w:rPr>
        <w:sz w:val="22"/>
        <w:szCs w:val="22"/>
      </w:rPr>
      <w:t xml:space="preserve">Current to 1 </w:t>
    </w:r>
    <w:r>
      <w:rPr>
        <w:sz w:val="22"/>
        <w:szCs w:val="22"/>
      </w:rPr>
      <w:t>September 2016 (Amendment No.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8CF" w:rsidRDefault="00FE68CF" w:rsidP="004F1C26">
      <w:r>
        <w:separator/>
      </w:r>
    </w:p>
  </w:footnote>
  <w:footnote w:type="continuationSeparator" w:id="0">
    <w:p w:rsidR="00FE68CF" w:rsidRDefault="00FE68CF" w:rsidP="004F1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DAF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611E"/>
    <w:multiLevelType w:val="hybridMultilevel"/>
    <w:tmpl w:val="EC3AECC2"/>
    <w:lvl w:ilvl="0" w:tplc="2C60CBEE">
      <w:start w:val="1"/>
      <w:numFmt w:val="bullet"/>
      <w:pStyle w:val="Answer"/>
      <w:lvlText w:val="A"/>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1DE"/>
    <w:multiLevelType w:val="hybridMultilevel"/>
    <w:tmpl w:val="5FC0E040"/>
    <w:lvl w:ilvl="0" w:tplc="F8CEB774">
      <w:start w:val="1"/>
      <w:numFmt w:val="upperLetter"/>
      <w:pStyle w:val="FirstAnswer"/>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40D7C"/>
    <w:multiLevelType w:val="hybridMultilevel"/>
    <w:tmpl w:val="5DEED1DC"/>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24157C44"/>
    <w:multiLevelType w:val="hybridMultilevel"/>
    <w:tmpl w:val="34BC76AC"/>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67B85"/>
    <w:multiLevelType w:val="hybridMultilevel"/>
    <w:tmpl w:val="C278EC28"/>
    <w:lvl w:ilvl="0" w:tplc="41D4C044">
      <w:start w:val="17"/>
      <w:numFmt w:val="upperLetter"/>
      <w:pStyle w:val="FirstQuestion"/>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3A7C61"/>
    <w:multiLevelType w:val="hybridMultilevel"/>
    <w:tmpl w:val="2C8C48B0"/>
    <w:lvl w:ilvl="0" w:tplc="E05A6E4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06F677E"/>
    <w:multiLevelType w:val="hybridMultilevel"/>
    <w:tmpl w:val="A1E43BDE"/>
    <w:lvl w:ilvl="0" w:tplc="3B28B9CA">
      <w:start w:val="1"/>
      <w:numFmt w:val="lowerLetter"/>
      <w:lvlText w:val="(%1)"/>
      <w:lvlJc w:val="left"/>
      <w:pPr>
        <w:ind w:left="1800" w:hanging="360"/>
      </w:pPr>
      <w:rPr>
        <w:rFonts w:ascii="Times New Roman" w:eastAsia="Times New Roman" w:hAnsi="Times New Roman" w:cs="Times New Roman"/>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AF57C19"/>
    <w:multiLevelType w:val="hybridMultilevel"/>
    <w:tmpl w:val="25E06BD2"/>
    <w:lvl w:ilvl="0" w:tplc="819E2BD4">
      <w:start w:val="1"/>
      <w:numFmt w:val="bullet"/>
      <w:pStyle w:val="Question"/>
      <w:lvlText w:val="Q"/>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91C43"/>
    <w:multiLevelType w:val="hybridMultilevel"/>
    <w:tmpl w:val="E312DA70"/>
    <w:lvl w:ilvl="0" w:tplc="FFFFFFFF">
      <w:start w:val="1"/>
      <w:numFmt w:val="decimal"/>
      <w:lvlRestart w:val="0"/>
      <w:pStyle w:val="NumJudgePara"/>
      <w:lvlText w:val="%1"/>
      <w:lvlJc w:val="left"/>
      <w:pPr>
        <w:tabs>
          <w:tab w:val="num" w:pos="0"/>
        </w:tabs>
        <w:ind w:left="0" w:hanging="425"/>
      </w:pPr>
      <w:rPr>
        <w:rFonts w:ascii="Times New Roman" w:hAnsi="Times New Roman" w:hint="default"/>
        <w:b w:val="0"/>
        <w:i w:val="0"/>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E1A7DFB"/>
    <w:multiLevelType w:val="hybridMultilevel"/>
    <w:tmpl w:val="B2B45A14"/>
    <w:lvl w:ilvl="0" w:tplc="B86A717A">
      <w:start w:val="1"/>
      <w:numFmt w:val="decimal"/>
      <w:lvlRestart w:val="0"/>
      <w:pStyle w:val="Number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4"/>
  </w:num>
  <w:num w:numId="5">
    <w:abstractNumId w:val="3"/>
  </w:num>
  <w:num w:numId="6">
    <w:abstractNumId w:val="11"/>
  </w:num>
  <w:num w:numId="7">
    <w:abstractNumId w:val="10"/>
  </w:num>
  <w:num w:numId="8">
    <w:abstractNumId w:val="5"/>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6423"/>
    <w:rsid w:val="00025CF1"/>
    <w:rsid w:val="00060934"/>
    <w:rsid w:val="000713BE"/>
    <w:rsid w:val="000E5CA1"/>
    <w:rsid w:val="000F6423"/>
    <w:rsid w:val="00156A7E"/>
    <w:rsid w:val="001A6811"/>
    <w:rsid w:val="00205D2D"/>
    <w:rsid w:val="00307326"/>
    <w:rsid w:val="00323B3A"/>
    <w:rsid w:val="00451EAD"/>
    <w:rsid w:val="004E4278"/>
    <w:rsid w:val="004F1C26"/>
    <w:rsid w:val="00567FCD"/>
    <w:rsid w:val="00590EAB"/>
    <w:rsid w:val="006409B0"/>
    <w:rsid w:val="006D3C90"/>
    <w:rsid w:val="0073112A"/>
    <w:rsid w:val="007639FF"/>
    <w:rsid w:val="0081447D"/>
    <w:rsid w:val="00891E17"/>
    <w:rsid w:val="00980BD2"/>
    <w:rsid w:val="009818ED"/>
    <w:rsid w:val="00C40A0E"/>
    <w:rsid w:val="00C62D01"/>
    <w:rsid w:val="00D408A4"/>
    <w:rsid w:val="00DA5593"/>
    <w:rsid w:val="00FE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A62E6-AAEA-4F08-99A2-9BCB738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90"/>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next w:val="Normal"/>
    <w:qFormat/>
    <w:rsid w:val="000F6423"/>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IndentedPara">
    <w:name w:val="IndentedPara"/>
    <w:basedOn w:val="Normal"/>
    <w:next w:val="Normal"/>
    <w:qFormat/>
    <w:rsid w:val="000F6423"/>
    <w:pPr>
      <w:tabs>
        <w:tab w:val="left" w:pos="851"/>
      </w:tabs>
      <w:autoSpaceDE w:val="0"/>
      <w:autoSpaceDN w:val="0"/>
      <w:adjustRightInd w:val="0"/>
      <w:spacing w:before="120" w:after="120"/>
      <w:ind w:left="851"/>
    </w:pPr>
    <w:rPr>
      <w:color w:val="000000"/>
      <w:szCs w:val="23"/>
      <w:lang w:val="en-US"/>
    </w:rPr>
  </w:style>
  <w:style w:type="paragraph" w:customStyle="1" w:styleId="Chapter">
    <w:name w:val="Chapter"/>
    <w:basedOn w:val="Normal"/>
    <w:next w:val="Part"/>
    <w:qFormat/>
    <w:rsid w:val="000F6423"/>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SubPart"/>
    <w:qFormat/>
    <w:rsid w:val="000F6423"/>
    <w:pPr>
      <w:keepNext/>
      <w:autoSpaceDE w:val="0"/>
      <w:autoSpaceDN w:val="0"/>
      <w:adjustRightInd w:val="0"/>
      <w:spacing w:before="280"/>
      <w:ind w:left="567" w:hanging="567"/>
    </w:pPr>
    <w:rPr>
      <w:b/>
      <w:bCs/>
      <w:color w:val="000000"/>
      <w:sz w:val="32"/>
      <w:szCs w:val="32"/>
      <w:lang w:val="en-US"/>
    </w:rPr>
  </w:style>
  <w:style w:type="paragraph" w:customStyle="1" w:styleId="SubPart">
    <w:name w:val="SubPart"/>
    <w:basedOn w:val="clausehead"/>
    <w:next w:val="IndentedPara"/>
    <w:qFormat/>
    <w:rsid w:val="000F6423"/>
    <w:pPr>
      <w:keepLines w:val="0"/>
    </w:pPr>
    <w:rPr>
      <w:sz w:val="23"/>
    </w:rPr>
  </w:style>
  <w:style w:type="paragraph" w:customStyle="1" w:styleId="Hangindent">
    <w:name w:val="Hang indent"/>
    <w:basedOn w:val="Normal"/>
    <w:qFormat/>
    <w:rsid w:val="000F6423"/>
    <w:pPr>
      <w:spacing w:after="120"/>
      <w:ind w:left="1418" w:hanging="567"/>
    </w:pPr>
    <w:rPr>
      <w:szCs w:val="23"/>
    </w:rPr>
  </w:style>
  <w:style w:type="paragraph" w:styleId="Header">
    <w:name w:val="header"/>
    <w:basedOn w:val="Normal"/>
    <w:link w:val="HeaderChar"/>
    <w:uiPriority w:val="99"/>
    <w:rsid w:val="000F6423"/>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HeaderChar">
    <w:name w:val="Header Char"/>
    <w:basedOn w:val="DefaultParagraphFont"/>
    <w:link w:val="Header"/>
    <w:uiPriority w:val="99"/>
    <w:rsid w:val="000F6423"/>
    <w:rPr>
      <w:rFonts w:ascii="Times New Roman" w:eastAsia="Times New Roman" w:hAnsi="Times New Roman"/>
      <w:sz w:val="24"/>
      <w:szCs w:val="20"/>
      <w:lang w:val="en-AU" w:bidi="ar-SA"/>
    </w:rPr>
  </w:style>
  <w:style w:type="paragraph" w:styleId="Footer">
    <w:name w:val="footer"/>
    <w:basedOn w:val="Normal"/>
    <w:link w:val="FooterChar"/>
    <w:uiPriority w:val="99"/>
    <w:rsid w:val="000F6423"/>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FooterChar">
    <w:name w:val="Footer Char"/>
    <w:basedOn w:val="DefaultParagraphFont"/>
    <w:link w:val="Footer"/>
    <w:uiPriority w:val="99"/>
    <w:rsid w:val="000F6423"/>
    <w:rPr>
      <w:rFonts w:ascii="Times New Roman" w:eastAsia="Times New Roman" w:hAnsi="Times New Roman"/>
      <w:sz w:val="24"/>
      <w:szCs w:val="20"/>
      <w:lang w:val="en-AU" w:bidi="ar-SA"/>
    </w:rPr>
  </w:style>
  <w:style w:type="character" w:styleId="PageNumber">
    <w:name w:val="page number"/>
    <w:basedOn w:val="DefaultParagraphFont"/>
    <w:rsid w:val="000F6423"/>
  </w:style>
  <w:style w:type="character" w:styleId="Hyperlink">
    <w:name w:val="Hyperlink"/>
    <w:uiPriority w:val="99"/>
    <w:unhideWhenUsed/>
    <w:rsid w:val="000F6423"/>
    <w:rPr>
      <w:color w:val="0000FF"/>
      <w:u w:val="single"/>
    </w:rPr>
  </w:style>
  <w:style w:type="paragraph" w:styleId="NormalWeb">
    <w:name w:val="Normal (Web)"/>
    <w:basedOn w:val="Normal"/>
    <w:uiPriority w:val="99"/>
    <w:unhideWhenUsed/>
    <w:rsid w:val="000F6423"/>
    <w:pPr>
      <w:spacing w:before="100" w:beforeAutospacing="1" w:after="100" w:afterAutospacing="1"/>
    </w:pPr>
    <w:rPr>
      <w:lang w:eastAsia="en-AU"/>
    </w:rPr>
  </w:style>
  <w:style w:type="paragraph" w:styleId="BalloonText">
    <w:name w:val="Balloon Text"/>
    <w:basedOn w:val="Normal"/>
    <w:link w:val="BalloonTextChar"/>
    <w:unhideWhenUsed/>
    <w:rsid w:val="000F6423"/>
    <w:rPr>
      <w:rFonts w:ascii="Segoe UI" w:eastAsia="Calibri" w:hAnsi="Segoe UI" w:cs="Segoe UI"/>
      <w:sz w:val="18"/>
      <w:szCs w:val="18"/>
      <w:lang w:val="en-AU"/>
    </w:rPr>
  </w:style>
  <w:style w:type="character" w:customStyle="1" w:styleId="BalloonTextChar">
    <w:name w:val="Balloon Text Char"/>
    <w:basedOn w:val="DefaultParagraphFont"/>
    <w:link w:val="BalloonText"/>
    <w:rsid w:val="000F6423"/>
    <w:rPr>
      <w:rFonts w:ascii="Segoe UI" w:eastAsia="Calibri" w:hAnsi="Segoe UI" w:cs="Segoe UI"/>
      <w:sz w:val="18"/>
      <w:szCs w:val="18"/>
      <w:lang w:val="en-AU" w:bidi="ar-SA"/>
    </w:rPr>
  </w:style>
  <w:style w:type="paragraph" w:customStyle="1" w:styleId="Doublehangingindent">
    <w:name w:val="Double hanging indent"/>
    <w:basedOn w:val="Hangindent"/>
    <w:qFormat/>
    <w:rsid w:val="000F6423"/>
    <w:pPr>
      <w:ind w:left="1985"/>
    </w:pPr>
  </w:style>
  <w:style w:type="paragraph" w:styleId="TOC1">
    <w:name w:val="toc 1"/>
    <w:basedOn w:val="Normal"/>
    <w:next w:val="Normal"/>
    <w:autoRedefine/>
    <w:uiPriority w:val="39"/>
    <w:rsid w:val="000F6423"/>
    <w:pPr>
      <w:spacing w:before="120" w:after="120"/>
    </w:pPr>
    <w:rPr>
      <w:b/>
      <w:sz w:val="30"/>
    </w:rPr>
  </w:style>
  <w:style w:type="paragraph" w:styleId="TOC2">
    <w:name w:val="toc 2"/>
    <w:basedOn w:val="Normal"/>
    <w:next w:val="Normal"/>
    <w:autoRedefine/>
    <w:uiPriority w:val="39"/>
    <w:rsid w:val="000F6423"/>
    <w:pPr>
      <w:spacing w:before="120" w:after="120"/>
      <w:ind w:left="238"/>
    </w:pPr>
    <w:rPr>
      <w:sz w:val="28"/>
    </w:rPr>
  </w:style>
  <w:style w:type="paragraph" w:styleId="TOC3">
    <w:name w:val="toc 3"/>
    <w:basedOn w:val="Normal"/>
    <w:next w:val="Normal"/>
    <w:autoRedefine/>
    <w:uiPriority w:val="39"/>
    <w:rsid w:val="000F6423"/>
    <w:pPr>
      <w:tabs>
        <w:tab w:val="left" w:pos="1134"/>
        <w:tab w:val="right" w:leader="dot" w:pos="8630"/>
      </w:tabs>
      <w:ind w:left="482"/>
    </w:pPr>
  </w:style>
  <w:style w:type="character" w:styleId="FootnoteReference">
    <w:name w:val="footnote reference"/>
    <w:semiHidden/>
    <w:rsid w:val="000F6423"/>
    <w:rPr>
      <w:sz w:val="20"/>
      <w:vertAlign w:val="superscript"/>
    </w:rPr>
  </w:style>
  <w:style w:type="character" w:customStyle="1" w:styleId="FootnoteTextChar">
    <w:name w:val="Footnote Text Char"/>
    <w:link w:val="FootnoteText"/>
    <w:semiHidden/>
    <w:rsid w:val="000F6423"/>
    <w:rPr>
      <w:rFonts w:ascii="Times New Roman" w:eastAsia="Times New Roman" w:hAnsi="Times New Roman"/>
      <w:lang w:val="en-GB"/>
    </w:rPr>
  </w:style>
  <w:style w:type="paragraph" w:styleId="FootnoteText">
    <w:name w:val="footnote text"/>
    <w:basedOn w:val="Normal"/>
    <w:link w:val="FootnoteTextChar"/>
    <w:semiHidden/>
    <w:rsid w:val="000F6423"/>
    <w:pPr>
      <w:tabs>
        <w:tab w:val="left" w:pos="261"/>
      </w:tabs>
      <w:overflowPunct w:val="0"/>
      <w:autoSpaceDE w:val="0"/>
      <w:autoSpaceDN w:val="0"/>
      <w:adjustRightInd w:val="0"/>
      <w:ind w:left="261" w:hanging="261"/>
      <w:jc w:val="both"/>
      <w:textAlignment w:val="baseline"/>
    </w:pPr>
    <w:rPr>
      <w:sz w:val="22"/>
      <w:szCs w:val="22"/>
      <w:lang w:bidi="en-US"/>
    </w:rPr>
  </w:style>
  <w:style w:type="character" w:customStyle="1" w:styleId="FootnoteTextChar1">
    <w:name w:val="Footnote Text Char1"/>
    <w:basedOn w:val="DefaultParagraphFont"/>
    <w:uiPriority w:val="99"/>
    <w:semiHidden/>
    <w:rsid w:val="000F6423"/>
    <w:rPr>
      <w:rFonts w:ascii="Times New Roman" w:eastAsia="Times New Roman" w:hAnsi="Times New Roman"/>
      <w:sz w:val="20"/>
      <w:szCs w:val="20"/>
      <w:lang w:val="en-GB" w:bidi="ar-SA"/>
    </w:rPr>
  </w:style>
  <w:style w:type="paragraph" w:styleId="ListBullet">
    <w:name w:val="List Bullet"/>
    <w:basedOn w:val="Normal"/>
    <w:rsid w:val="000F6423"/>
    <w:pPr>
      <w:numPr>
        <w:numId w:val="1"/>
      </w:numPr>
      <w:contextualSpacing/>
    </w:pPr>
  </w:style>
  <w:style w:type="paragraph" w:customStyle="1" w:styleId="Division">
    <w:name w:val="Division"/>
    <w:basedOn w:val="clausehead"/>
    <w:qFormat/>
    <w:rsid w:val="000F6423"/>
    <w:pPr>
      <w:keepNext w:val="0"/>
      <w:keepLines w:val="0"/>
    </w:pPr>
    <w:rPr>
      <w:sz w:val="28"/>
      <w:szCs w:val="28"/>
      <w:lang w:val="en-US"/>
    </w:rPr>
  </w:style>
  <w:style w:type="character" w:customStyle="1" w:styleId="BodyTextChar">
    <w:name w:val="Body Text Char"/>
    <w:link w:val="BodyText"/>
    <w:rsid w:val="000F6423"/>
    <w:rPr>
      <w:rFonts w:ascii="Times New Roman" w:eastAsia="Times New Roman" w:hAnsi="Times New Roman"/>
      <w:sz w:val="26"/>
      <w:szCs w:val="24"/>
      <w:lang w:val="en-GB"/>
    </w:rPr>
  </w:style>
  <w:style w:type="paragraph" w:styleId="BodyText">
    <w:name w:val="Body Text"/>
    <w:basedOn w:val="Normal"/>
    <w:link w:val="BodyTextChar"/>
    <w:rsid w:val="000F6423"/>
    <w:rPr>
      <w:sz w:val="26"/>
      <w:lang w:bidi="en-US"/>
    </w:rPr>
  </w:style>
  <w:style w:type="character" w:customStyle="1" w:styleId="BodyTextChar1">
    <w:name w:val="Body Text Char1"/>
    <w:basedOn w:val="DefaultParagraphFont"/>
    <w:uiPriority w:val="99"/>
    <w:semiHidden/>
    <w:rsid w:val="000F6423"/>
    <w:rPr>
      <w:rFonts w:ascii="Times New Roman" w:eastAsia="Times New Roman" w:hAnsi="Times New Roman"/>
      <w:sz w:val="24"/>
      <w:szCs w:val="24"/>
      <w:lang w:val="en-GB" w:bidi="ar-SA"/>
    </w:rPr>
  </w:style>
  <w:style w:type="paragraph" w:customStyle="1" w:styleId="NumJudgePara">
    <w:name w:val="Num Judge Para"/>
    <w:basedOn w:val="BodyText"/>
    <w:rsid w:val="000F6423"/>
    <w:pPr>
      <w:numPr>
        <w:numId w:val="7"/>
      </w:numPr>
      <w:tabs>
        <w:tab w:val="left" w:pos="567"/>
        <w:tab w:val="left" w:pos="1134"/>
        <w:tab w:val="left" w:pos="1985"/>
        <w:tab w:val="left" w:pos="2835"/>
        <w:tab w:val="left" w:pos="3686"/>
      </w:tabs>
      <w:spacing w:after="240"/>
    </w:pPr>
  </w:style>
  <w:style w:type="paragraph" w:customStyle="1" w:styleId="NumberList">
    <w:name w:val="NumberList"/>
    <w:basedOn w:val="BodyText"/>
    <w:rsid w:val="000F6423"/>
    <w:pPr>
      <w:numPr>
        <w:numId w:val="6"/>
      </w:numPr>
      <w:tabs>
        <w:tab w:val="clear" w:pos="567"/>
        <w:tab w:val="num" w:pos="360"/>
      </w:tabs>
      <w:spacing w:after="240"/>
      <w:ind w:left="0" w:firstLine="0"/>
    </w:pPr>
  </w:style>
  <w:style w:type="paragraph" w:customStyle="1" w:styleId="Bullets">
    <w:name w:val="Bullets"/>
    <w:basedOn w:val="NumberList"/>
    <w:rsid w:val="000F6423"/>
    <w:pPr>
      <w:numPr>
        <w:numId w:val="5"/>
      </w:numPr>
    </w:pPr>
  </w:style>
  <w:style w:type="paragraph" w:customStyle="1" w:styleId="FirstAnswer">
    <w:name w:val="FirstAnswer"/>
    <w:basedOn w:val="Normal"/>
    <w:next w:val="Question"/>
    <w:rsid w:val="000F6423"/>
    <w:pPr>
      <w:numPr>
        <w:numId w:val="9"/>
      </w:numPr>
      <w:overflowPunct w:val="0"/>
      <w:autoSpaceDE w:val="0"/>
      <w:autoSpaceDN w:val="0"/>
      <w:adjustRightInd w:val="0"/>
      <w:spacing w:after="240"/>
      <w:textAlignment w:val="baseline"/>
    </w:pPr>
    <w:rPr>
      <w:sz w:val="22"/>
      <w:szCs w:val="20"/>
    </w:rPr>
  </w:style>
  <w:style w:type="paragraph" w:customStyle="1" w:styleId="Question">
    <w:name w:val="Question"/>
    <w:basedOn w:val="Normal"/>
    <w:next w:val="Answer"/>
    <w:rsid w:val="000F6423"/>
    <w:pPr>
      <w:numPr>
        <w:numId w:val="12"/>
      </w:numPr>
      <w:overflowPunct w:val="0"/>
      <w:autoSpaceDE w:val="0"/>
      <w:autoSpaceDN w:val="0"/>
      <w:adjustRightInd w:val="0"/>
      <w:spacing w:after="240"/>
      <w:textAlignment w:val="baseline"/>
    </w:pPr>
    <w:rPr>
      <w:sz w:val="22"/>
      <w:szCs w:val="20"/>
    </w:rPr>
  </w:style>
  <w:style w:type="paragraph" w:customStyle="1" w:styleId="Answer">
    <w:name w:val="Answer"/>
    <w:basedOn w:val="Normal"/>
    <w:next w:val="Question"/>
    <w:rsid w:val="000F6423"/>
    <w:pPr>
      <w:numPr>
        <w:numId w:val="11"/>
      </w:numPr>
      <w:overflowPunct w:val="0"/>
      <w:autoSpaceDE w:val="0"/>
      <w:autoSpaceDN w:val="0"/>
      <w:adjustRightInd w:val="0"/>
      <w:spacing w:after="240"/>
      <w:textAlignment w:val="baseline"/>
    </w:pPr>
    <w:rPr>
      <w:sz w:val="22"/>
      <w:szCs w:val="20"/>
    </w:rPr>
  </w:style>
  <w:style w:type="paragraph" w:customStyle="1" w:styleId="FirstQuestion">
    <w:name w:val="FirstQuestion"/>
    <w:basedOn w:val="Normal"/>
    <w:next w:val="Answer"/>
    <w:rsid w:val="000F6423"/>
    <w:pPr>
      <w:numPr>
        <w:numId w:val="10"/>
      </w:numPr>
      <w:overflowPunct w:val="0"/>
      <w:autoSpaceDE w:val="0"/>
      <w:autoSpaceDN w:val="0"/>
      <w:adjustRightInd w:val="0"/>
      <w:spacing w:after="240"/>
      <w:textAlignment w:val="baseline"/>
    </w:pPr>
    <w:rPr>
      <w:sz w:val="22"/>
      <w:szCs w:val="20"/>
    </w:rPr>
  </w:style>
  <w:style w:type="paragraph" w:customStyle="1" w:styleId="Bulletdash">
    <w:name w:val="Bullet dash"/>
    <w:basedOn w:val="Normal"/>
    <w:rsid w:val="000F6423"/>
    <w:pPr>
      <w:numPr>
        <w:numId w:val="8"/>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89DB-6E71-4A24-9C53-50E07E60DE17}"/>
</file>

<file path=customXml/itemProps2.xml><?xml version="1.0" encoding="utf-8"?>
<ds:datastoreItem xmlns:ds="http://schemas.openxmlformats.org/officeDocument/2006/customXml" ds:itemID="{38777240-ED59-4D42-B15F-06B23DC8A965}"/>
</file>

<file path=customXml/itemProps3.xml><?xml version="1.0" encoding="utf-8"?>
<ds:datastoreItem xmlns:ds="http://schemas.openxmlformats.org/officeDocument/2006/customXml" ds:itemID="{A3EE968B-88F9-4542-988B-80B962981847}"/>
</file>

<file path=docProps/app.xml><?xml version="1.0" encoding="utf-8"?>
<Properties xmlns="http://schemas.openxmlformats.org/officeDocument/2006/extended-properties" xmlns:vt="http://schemas.openxmlformats.org/officeDocument/2006/docPropsVTypes">
  <Template>Normal.dotm</Template>
  <TotalTime>54</TotalTime>
  <Pages>22</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Fast Track Supplementary Rules Adoption Rules 2014</dc:title>
  <dcterms:created xsi:type="dcterms:W3CDTF">2015-11-24T05:16:00Z</dcterms:created>
  <dcterms:modified xsi:type="dcterms:W3CDTF">2016-08-25T23:17:00Z</dcterms:modified>
  <cp:contentStatus>Current to 1 September 2016 Amendment No.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A151022</vt:lpwstr>
  </property>
  <property fmtid="{D5CDD505-2E9C-101B-9397-08002B2CF9AE}" pid="4" name="Objective-Title">
    <vt:lpwstr>District Court Fast Track Supplementary Rules Adoption Rules 2014</vt:lpwstr>
  </property>
  <property fmtid="{D5CDD505-2E9C-101B-9397-08002B2CF9AE}" pid="5" name="Objective-Comment">
    <vt:lpwstr/>
  </property>
  <property fmtid="{D5CDD505-2E9C-101B-9397-08002B2CF9AE}" pid="6" name="Objective-CreationStamp">
    <vt:filetime>2014-09-23T02:59:49Z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2014-09-23T06:35:22Z</vt:filetime>
  </property>
  <property fmtid="{D5CDD505-2E9C-101B-9397-08002B2CF9AE}" pid="10" name="Objective-ModificationStamp">
    <vt:filetime>2015-04-02T02:08:32Z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Fast Track Supplementary Rules Adoption Rules 2014:Master Copies - District Court Fast Track Supplementary </vt:lpwstr>
  </property>
  <property fmtid="{D5CDD505-2E9C-101B-9397-08002B2CF9AE}" pid="13" name="Objective-Parent">
    <vt:lpwstr>Master Copies - District Court Fast Track Supplementary Rules Adoption Rules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CRF2015/00176</vt:lpwstr>
  </property>
  <property fmtid="{D5CDD505-2E9C-101B-9397-08002B2CF9AE}" pid="19" name="Objective-Classification">
    <vt:lpwstr>[Inherited - none]</vt:lpwstr>
  </property>
  <property fmtid="{D5CDD505-2E9C-101B-9397-08002B2CF9AE}" pid="20" name="Objective-Caveats">
    <vt:lpwstr/>
  </property>
</Properties>
</file>